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22" w:rsidRDefault="00666B39">
      <w:pPr>
        <w:pStyle w:val="Heading1"/>
      </w:pPr>
      <w:bookmarkStart w:id="0" w:name="_gjdgxs" w:colFirst="0" w:colLast="0"/>
      <w:bookmarkEnd w:id="0"/>
      <w:r>
        <w:t>GRADUATE CURRICULUM COMMITTEE (GCC)</w:t>
      </w:r>
      <w:r>
        <w:br/>
        <w:t>PROPOSAL FORM</w:t>
      </w:r>
      <w:r>
        <w:rPr>
          <w:noProof/>
        </w:rPr>
        <w:drawing>
          <wp:anchor distT="0" distB="0" distL="114300" distR="114300" simplePos="0" relativeHeight="251658240" behindDoc="0" locked="0" layoutInCell="1" hidden="0" allowOverlap="1">
            <wp:simplePos x="0" y="0"/>
            <wp:positionH relativeFrom="column">
              <wp:posOffset>-633</wp:posOffset>
            </wp:positionH>
            <wp:positionV relativeFrom="paragraph">
              <wp:posOffset>-93978</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690922" w:rsidRDefault="00666B39">
      <w:pPr>
        <w:pStyle w:val="Heading2"/>
        <w:numPr>
          <w:ilvl w:val="0"/>
          <w:numId w:val="9"/>
        </w:numPr>
        <w:jc w:val="left"/>
        <w:rPr>
          <w:color w:val="0000FF"/>
          <w:sz w:val="18"/>
          <w:szCs w:val="18"/>
          <w:u w:val="single"/>
        </w:rPr>
      </w:pPr>
      <w:r>
        <w:t>Cover page</w:t>
      </w:r>
      <w:r>
        <w:tab/>
      </w:r>
      <w:r>
        <w:rPr>
          <w:color w:val="000000"/>
          <w:sz w:val="18"/>
          <w:szCs w:val="18"/>
        </w:rPr>
        <w:t xml:space="preserve">scroll over blue text to see further important </w:t>
      </w:r>
      <w:hyperlink w:anchor="ihv636">
        <w:r>
          <w:rPr>
            <w:color w:val="0000FF"/>
            <w:sz w:val="18"/>
            <w:szCs w:val="18"/>
            <w:u w:val="single"/>
          </w:rPr>
          <w:t>instructions</w:t>
        </w:r>
      </w:hyperlink>
      <w:r>
        <w:rPr>
          <w:color w:val="0000FF"/>
          <w:sz w:val="18"/>
          <w:szCs w:val="18"/>
          <w:u w:val="single"/>
        </w:rPr>
        <w:t>:</w:t>
      </w:r>
      <w:r>
        <w:t xml:space="preserve"> </w:t>
      </w:r>
      <w:r>
        <w:rPr>
          <w:sz w:val="20"/>
          <w:szCs w:val="20"/>
        </w:rPr>
        <w:t>please read.</w:t>
      </w:r>
    </w:p>
    <w:p w:rsidR="00690922" w:rsidRDefault="00666B39">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690922" w:rsidRDefault="00666B39">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690922">
        <w:tc>
          <w:tcPr>
            <w:tcW w:w="2396" w:type="dxa"/>
            <w:vAlign w:val="center"/>
          </w:tcPr>
          <w:p w:rsidR="00690922" w:rsidRDefault="00666B39">
            <w:bookmarkStart w:id="1" w:name="2s8eyo1" w:colFirst="0" w:colLast="0"/>
            <w:bookmarkStart w:id="2" w:name="30j0zll" w:colFirst="0" w:colLast="0"/>
            <w:bookmarkStart w:id="3" w:name="3dy6vkm" w:colFirst="0" w:colLast="0"/>
            <w:bookmarkStart w:id="4" w:name="17dp8vu" w:colFirst="0" w:colLast="0"/>
            <w:bookmarkStart w:id="5" w:name="3rdcrjn" w:colFirst="0" w:colLast="0"/>
            <w:bookmarkStart w:id="6" w:name="1fob9te" w:colFirst="0" w:colLast="0"/>
            <w:bookmarkStart w:id="7" w:name="2et92p0" w:colFirst="0" w:colLast="0"/>
            <w:bookmarkStart w:id="8" w:name="3znysh7" w:colFirst="0" w:colLast="0"/>
            <w:bookmarkStart w:id="9" w:name="tyjcwt" w:colFirst="0" w:colLast="0"/>
            <w:bookmarkStart w:id="10" w:name="4d34og8" w:colFirst="0" w:colLast="0"/>
            <w:bookmarkStart w:id="11" w:name="1t3h5sf" w:colFirst="0" w:colLast="0"/>
            <w:bookmarkEnd w:id="1"/>
            <w:bookmarkEnd w:id="2"/>
            <w:bookmarkEnd w:id="3"/>
            <w:bookmarkEnd w:id="4"/>
            <w:bookmarkEnd w:id="5"/>
            <w:bookmarkEnd w:id="6"/>
            <w:bookmarkEnd w:id="7"/>
            <w:bookmarkEnd w:id="8"/>
            <w:bookmarkEnd w:id="9"/>
            <w:bookmarkEnd w:id="10"/>
            <w:bookmarkEnd w:id="11"/>
            <w:r>
              <w:t xml:space="preserve">A.1. </w:t>
            </w:r>
            <w:r>
              <w:rPr>
                <w:color w:val="0000FF"/>
                <w:u w:val="single"/>
              </w:rPr>
              <w:t>Course</w:t>
            </w:r>
          </w:p>
        </w:tc>
        <w:tc>
          <w:tcPr>
            <w:tcW w:w="8102" w:type="dxa"/>
            <w:gridSpan w:val="4"/>
          </w:tcPr>
          <w:p w:rsidR="00690922" w:rsidRDefault="00666B39">
            <w:pPr>
              <w:pStyle w:val="Heading5"/>
              <w:rPr>
                <w:b/>
              </w:rPr>
            </w:pPr>
            <w:r>
              <w:rPr>
                <w:b/>
              </w:rPr>
              <w:t>FNED 546 Contexts of Schooling</w:t>
            </w:r>
          </w:p>
        </w:tc>
        <w:tc>
          <w:tcPr>
            <w:tcW w:w="282" w:type="dxa"/>
            <w:vMerge w:val="restart"/>
          </w:tcPr>
          <w:p w:rsidR="00690922" w:rsidRDefault="00690922">
            <w:pPr>
              <w:rPr>
                <w:b/>
              </w:rPr>
            </w:pPr>
            <w:bookmarkStart w:id="12" w:name="_26in1rg" w:colFirst="0" w:colLast="0"/>
            <w:bookmarkEnd w:id="12"/>
          </w:p>
        </w:tc>
      </w:tr>
      <w:tr w:rsidR="00690922">
        <w:tc>
          <w:tcPr>
            <w:tcW w:w="2396" w:type="dxa"/>
            <w:vAlign w:val="center"/>
          </w:tcPr>
          <w:p w:rsidR="00690922" w:rsidRDefault="00666B39">
            <w:r>
              <w:t xml:space="preserve">Revision </w:t>
            </w:r>
          </w:p>
        </w:tc>
        <w:tc>
          <w:tcPr>
            <w:tcW w:w="8102" w:type="dxa"/>
            <w:gridSpan w:val="4"/>
          </w:tcPr>
          <w:p w:rsidR="00690922" w:rsidRDefault="00690922">
            <w:pPr>
              <w:pStyle w:val="Heading5"/>
              <w:rPr>
                <w:b/>
              </w:rPr>
            </w:pPr>
          </w:p>
        </w:tc>
        <w:tc>
          <w:tcPr>
            <w:tcW w:w="282" w:type="dxa"/>
            <w:vMerge/>
          </w:tcPr>
          <w:p w:rsidR="00690922" w:rsidRDefault="00690922">
            <w:pPr>
              <w:widowControl w:val="0"/>
              <w:pBdr>
                <w:top w:val="nil"/>
                <w:left w:val="nil"/>
                <w:bottom w:val="nil"/>
                <w:right w:val="nil"/>
                <w:between w:val="nil"/>
              </w:pBdr>
              <w:spacing w:line="276" w:lineRule="auto"/>
              <w:rPr>
                <w:b/>
              </w:rPr>
            </w:pPr>
          </w:p>
        </w:tc>
      </w:tr>
      <w:tr w:rsidR="00690922">
        <w:tc>
          <w:tcPr>
            <w:tcW w:w="2396" w:type="dxa"/>
            <w:vAlign w:val="center"/>
          </w:tcPr>
          <w:p w:rsidR="00690922" w:rsidRDefault="00666B39">
            <w:r>
              <w:t xml:space="preserve">A.2. </w:t>
            </w:r>
            <w:hyperlink w:anchor="2et92p0">
              <w:r>
                <w:rPr>
                  <w:color w:val="0000FF"/>
                  <w:u w:val="single"/>
                </w:rPr>
                <w:t>Proposal type</w:t>
              </w:r>
            </w:hyperlink>
          </w:p>
        </w:tc>
        <w:tc>
          <w:tcPr>
            <w:tcW w:w="8102" w:type="dxa"/>
            <w:gridSpan w:val="4"/>
          </w:tcPr>
          <w:p w:rsidR="00690922" w:rsidRDefault="00666B39">
            <w:pPr>
              <w:rPr>
                <w:b/>
              </w:rPr>
            </w:pPr>
            <w:r>
              <w:rPr>
                <w:b/>
              </w:rPr>
              <w:t xml:space="preserve">Course:  revision </w:t>
            </w:r>
            <w:bookmarkStart w:id="13" w:name="lnxbz9" w:colFirst="0" w:colLast="0"/>
            <w:bookmarkEnd w:id="13"/>
          </w:p>
          <w:p w:rsidR="00690922" w:rsidRDefault="00690922">
            <w:pPr>
              <w:rPr>
                <w:b/>
              </w:rPr>
            </w:pPr>
          </w:p>
        </w:tc>
        <w:tc>
          <w:tcPr>
            <w:tcW w:w="282" w:type="dxa"/>
            <w:vMerge/>
          </w:tcPr>
          <w:p w:rsidR="00690922" w:rsidRDefault="00690922">
            <w:pPr>
              <w:widowControl w:val="0"/>
              <w:pBdr>
                <w:top w:val="nil"/>
                <w:left w:val="nil"/>
                <w:bottom w:val="nil"/>
                <w:right w:val="nil"/>
                <w:between w:val="nil"/>
              </w:pBdr>
              <w:spacing w:line="276" w:lineRule="auto"/>
              <w:rPr>
                <w:b/>
              </w:rPr>
            </w:pPr>
          </w:p>
        </w:tc>
      </w:tr>
      <w:tr w:rsidR="00690922">
        <w:tc>
          <w:tcPr>
            <w:tcW w:w="2396" w:type="dxa"/>
            <w:vAlign w:val="center"/>
          </w:tcPr>
          <w:p w:rsidR="00690922" w:rsidRDefault="00666B39">
            <w:r>
              <w:t xml:space="preserve">A.3. </w:t>
            </w:r>
            <w:hyperlink w:anchor="tyjcwt">
              <w:r>
                <w:rPr>
                  <w:color w:val="0000FF"/>
                  <w:u w:val="single"/>
                </w:rPr>
                <w:t>Originator</w:t>
              </w:r>
            </w:hyperlink>
          </w:p>
        </w:tc>
        <w:tc>
          <w:tcPr>
            <w:tcW w:w="2501" w:type="dxa"/>
          </w:tcPr>
          <w:p w:rsidR="00690922" w:rsidRDefault="00666B39">
            <w:pPr>
              <w:rPr>
                <w:b/>
              </w:rPr>
            </w:pPr>
            <w:r>
              <w:rPr>
                <w:b/>
              </w:rPr>
              <w:t>Gerri August/Lesley Bogad</w:t>
            </w:r>
          </w:p>
        </w:tc>
        <w:tc>
          <w:tcPr>
            <w:tcW w:w="2609" w:type="dxa"/>
          </w:tcPr>
          <w:p w:rsidR="00690922" w:rsidRDefault="00666B39">
            <w:hyperlink w:anchor="3dy6vkm">
              <w:r>
                <w:rPr>
                  <w:color w:val="0000FF"/>
                  <w:u w:val="single"/>
                </w:rPr>
                <w:t>Home department</w:t>
              </w:r>
            </w:hyperlink>
          </w:p>
        </w:tc>
        <w:tc>
          <w:tcPr>
            <w:tcW w:w="3274" w:type="dxa"/>
            <w:gridSpan w:val="3"/>
          </w:tcPr>
          <w:p w:rsidR="00690922" w:rsidRDefault="00666B39">
            <w:pPr>
              <w:rPr>
                <w:b/>
              </w:rPr>
            </w:pPr>
            <w:r>
              <w:rPr>
                <w:b/>
              </w:rPr>
              <w:t>Department of Educational Studies</w:t>
            </w:r>
          </w:p>
        </w:tc>
      </w:tr>
      <w:tr w:rsidR="00690922">
        <w:tc>
          <w:tcPr>
            <w:tcW w:w="2396" w:type="dxa"/>
            <w:vAlign w:val="center"/>
          </w:tcPr>
          <w:p w:rsidR="00690922" w:rsidRDefault="00666B39">
            <w:r>
              <w:t xml:space="preserve">A.4. </w:t>
            </w:r>
            <w:hyperlink w:anchor="1t3h5sf">
              <w:r>
                <w:rPr>
                  <w:color w:val="0000FF"/>
                  <w:u w:val="single"/>
                </w:rPr>
                <w:t>Context and Rationale</w:t>
              </w:r>
            </w:hyperlink>
            <w:r>
              <w:rPr>
                <w:color w:val="0000FF"/>
                <w:u w:val="single"/>
              </w:rPr>
              <w:t xml:space="preserve"> </w:t>
            </w:r>
          </w:p>
        </w:tc>
        <w:tc>
          <w:tcPr>
            <w:tcW w:w="8384" w:type="dxa"/>
            <w:gridSpan w:val="5"/>
          </w:tcPr>
          <w:p w:rsidR="00690922" w:rsidRDefault="00690922">
            <w:pPr>
              <w:rPr>
                <w:b/>
              </w:rPr>
            </w:pPr>
          </w:p>
          <w:p w:rsidR="00690922" w:rsidRDefault="00666B39">
            <w:pPr>
              <w:rPr>
                <w:b/>
              </w:rPr>
            </w:pPr>
            <w:r>
              <w:rPr>
                <w:b/>
              </w:rPr>
              <w:t xml:space="preserve">Following the FSEHD expansive redesign of our teacher preparation programs at the undergraduate level, we are now revising the graduate courses to align with said changes.  </w:t>
            </w:r>
          </w:p>
          <w:p w:rsidR="00690922" w:rsidRDefault="00690922">
            <w:pPr>
              <w:rPr>
                <w:b/>
              </w:rPr>
            </w:pPr>
          </w:p>
          <w:p w:rsidR="00690922" w:rsidRDefault="00666B39">
            <w:pPr>
              <w:pBdr>
                <w:top w:val="nil"/>
                <w:left w:val="nil"/>
                <w:bottom w:val="nil"/>
                <w:right w:val="nil"/>
                <w:between w:val="nil"/>
              </w:pBdr>
              <w:rPr>
                <w:b/>
              </w:rPr>
            </w:pPr>
            <w:r>
              <w:rPr>
                <w:b/>
              </w:rPr>
              <w:t xml:space="preserve">FNED 546, a four credit course, will offer MAT candidates expanded opportunities </w:t>
            </w:r>
            <w:r>
              <w:rPr>
                <w:b/>
              </w:rPr>
              <w:t>to study education through a social justice lens. The newly designed course has the following distinctions:</w:t>
            </w:r>
          </w:p>
          <w:p w:rsidR="00690922" w:rsidRDefault="00666B39">
            <w:pPr>
              <w:numPr>
                <w:ilvl w:val="0"/>
                <w:numId w:val="11"/>
              </w:numPr>
              <w:pBdr>
                <w:top w:val="nil"/>
                <w:left w:val="nil"/>
                <w:bottom w:val="nil"/>
                <w:right w:val="nil"/>
                <w:between w:val="nil"/>
              </w:pBdr>
              <w:rPr>
                <w:b/>
              </w:rPr>
            </w:pPr>
            <w:r>
              <w:rPr>
                <w:b/>
              </w:rPr>
              <w:t>Deeper exploration of TESOL and Special Education concepts</w:t>
            </w:r>
          </w:p>
          <w:p w:rsidR="00690922" w:rsidRDefault="00666B39">
            <w:pPr>
              <w:numPr>
                <w:ilvl w:val="0"/>
                <w:numId w:val="11"/>
              </w:numPr>
              <w:pBdr>
                <w:top w:val="nil"/>
                <w:left w:val="nil"/>
                <w:bottom w:val="nil"/>
                <w:right w:val="nil"/>
                <w:between w:val="nil"/>
              </w:pBdr>
              <w:rPr>
                <w:b/>
              </w:rPr>
            </w:pPr>
            <w:r>
              <w:rPr>
                <w:b/>
              </w:rPr>
              <w:t>Description and interpretation of clinical observations</w:t>
            </w:r>
          </w:p>
          <w:p w:rsidR="00690922" w:rsidRDefault="00666B39">
            <w:pPr>
              <w:numPr>
                <w:ilvl w:val="0"/>
                <w:numId w:val="11"/>
              </w:numPr>
              <w:pBdr>
                <w:top w:val="nil"/>
                <w:left w:val="nil"/>
                <w:bottom w:val="nil"/>
                <w:right w:val="nil"/>
                <w:between w:val="nil"/>
              </w:pBdr>
              <w:rPr>
                <w:b/>
              </w:rPr>
            </w:pPr>
            <w:r>
              <w:rPr>
                <w:b/>
              </w:rPr>
              <w:t>Expanded fieldwork</w:t>
            </w:r>
          </w:p>
          <w:p w:rsidR="00690922" w:rsidRDefault="00666B39">
            <w:pPr>
              <w:numPr>
                <w:ilvl w:val="0"/>
                <w:numId w:val="11"/>
              </w:numPr>
              <w:pBdr>
                <w:top w:val="nil"/>
                <w:left w:val="nil"/>
                <w:bottom w:val="nil"/>
                <w:right w:val="nil"/>
                <w:between w:val="nil"/>
              </w:pBdr>
              <w:rPr>
                <w:b/>
              </w:rPr>
            </w:pPr>
            <w:r>
              <w:rPr>
                <w:b/>
              </w:rPr>
              <w:t>Explicit study of relevant RIDE Initiatives</w:t>
            </w:r>
          </w:p>
          <w:p w:rsidR="00690922" w:rsidRDefault="00666B39">
            <w:pPr>
              <w:numPr>
                <w:ilvl w:val="0"/>
                <w:numId w:val="11"/>
              </w:numPr>
              <w:pBdr>
                <w:top w:val="nil"/>
                <w:left w:val="nil"/>
                <w:bottom w:val="nil"/>
                <w:right w:val="nil"/>
                <w:between w:val="nil"/>
              </w:pBdr>
              <w:rPr>
                <w:b/>
              </w:rPr>
            </w:pPr>
            <w:r>
              <w:rPr>
                <w:b/>
              </w:rPr>
              <w:t>First checkpoint for dispositions evaluations</w:t>
            </w:r>
          </w:p>
          <w:p w:rsidR="00690922" w:rsidRDefault="00666B39">
            <w:pPr>
              <w:numPr>
                <w:ilvl w:val="0"/>
                <w:numId w:val="11"/>
              </w:numPr>
              <w:pBdr>
                <w:top w:val="nil"/>
                <w:left w:val="nil"/>
                <w:bottom w:val="nil"/>
                <w:right w:val="nil"/>
                <w:between w:val="nil"/>
              </w:pBdr>
              <w:rPr>
                <w:b/>
              </w:rPr>
            </w:pPr>
            <w:r>
              <w:rPr>
                <w:b/>
              </w:rPr>
              <w:t>Incorporation of video analysis as a tool for observing model practices.</w:t>
            </w:r>
          </w:p>
          <w:p w:rsidR="00690922" w:rsidRDefault="00666B39">
            <w:pPr>
              <w:numPr>
                <w:ilvl w:val="0"/>
                <w:numId w:val="11"/>
              </w:numPr>
              <w:pBdr>
                <w:top w:val="nil"/>
                <w:left w:val="nil"/>
                <w:bottom w:val="nil"/>
                <w:right w:val="nil"/>
                <w:between w:val="nil"/>
              </w:pBdr>
              <w:rPr>
                <w:b/>
              </w:rPr>
            </w:pPr>
            <w:r>
              <w:rPr>
                <w:b/>
              </w:rPr>
              <w:t xml:space="preserve">Introduction of common textbook, </w:t>
            </w:r>
            <w:r>
              <w:rPr>
                <w:b/>
                <w:i/>
              </w:rPr>
              <w:t>Readings for Diversity and Social Justice</w:t>
            </w:r>
            <w:r>
              <w:rPr>
                <w:b/>
              </w:rPr>
              <w:t>, which will be int</w:t>
            </w:r>
            <w:r>
              <w:rPr>
                <w:b/>
              </w:rPr>
              <w:t>egrated throughout the MAT program</w:t>
            </w:r>
          </w:p>
          <w:p w:rsidR="00690922" w:rsidRDefault="00690922">
            <w:pPr>
              <w:pBdr>
                <w:top w:val="nil"/>
                <w:left w:val="nil"/>
                <w:bottom w:val="nil"/>
                <w:right w:val="nil"/>
                <w:between w:val="nil"/>
              </w:pBdr>
              <w:rPr>
                <w:b/>
                <w:color w:val="000000"/>
              </w:rPr>
            </w:pPr>
          </w:p>
        </w:tc>
      </w:tr>
      <w:tr w:rsidR="00690922">
        <w:tc>
          <w:tcPr>
            <w:tcW w:w="2396" w:type="dxa"/>
            <w:vAlign w:val="center"/>
          </w:tcPr>
          <w:p w:rsidR="00690922" w:rsidRDefault="00666B39">
            <w:r>
              <w:t xml:space="preserve">A.5. </w:t>
            </w:r>
            <w:hyperlink w:anchor="4d34og8">
              <w:r>
                <w:rPr>
                  <w:color w:val="0000FF"/>
                  <w:u w:val="single"/>
                </w:rPr>
                <w:t>Student impact</w:t>
              </w:r>
            </w:hyperlink>
          </w:p>
        </w:tc>
        <w:tc>
          <w:tcPr>
            <w:tcW w:w="8384" w:type="dxa"/>
            <w:gridSpan w:val="5"/>
          </w:tcPr>
          <w:p w:rsidR="00690922" w:rsidRDefault="00666B39">
            <w:pPr>
              <w:rPr>
                <w:b/>
              </w:rPr>
            </w:pPr>
            <w:r>
              <w:rPr>
                <w:b/>
              </w:rPr>
              <w:t>Increased clinical practice hours prepare candidates for the expanded RIDE certification requirements.  Clinical hours changed from 15 hrs to 25 hrs in the field.</w:t>
            </w:r>
          </w:p>
        </w:tc>
      </w:tr>
      <w:tr w:rsidR="00690922">
        <w:tc>
          <w:tcPr>
            <w:tcW w:w="2396" w:type="dxa"/>
            <w:vAlign w:val="center"/>
          </w:tcPr>
          <w:p w:rsidR="00690922" w:rsidRDefault="00666B39">
            <w:r>
              <w:t xml:space="preserve">A.6. </w:t>
            </w:r>
            <w:hyperlink w:anchor="32hioqz">
              <w:r>
                <w:rPr>
                  <w:color w:val="0000FF"/>
                  <w:u w:val="single"/>
                </w:rPr>
                <w:t>Impact on other programs</w:t>
              </w:r>
            </w:hyperlink>
            <w:r>
              <w:t xml:space="preserve"> </w:t>
            </w:r>
          </w:p>
        </w:tc>
        <w:tc>
          <w:tcPr>
            <w:tcW w:w="8384" w:type="dxa"/>
            <w:gridSpan w:val="5"/>
          </w:tcPr>
          <w:p w:rsidR="00690922" w:rsidRDefault="00666B39">
            <w:pPr>
              <w:rPr>
                <w:b/>
              </w:rPr>
            </w:pPr>
            <w:r>
              <w:rPr>
                <w:b/>
              </w:rPr>
              <w:t>No impact</w:t>
            </w:r>
          </w:p>
        </w:tc>
      </w:tr>
      <w:tr w:rsidR="00690922">
        <w:tc>
          <w:tcPr>
            <w:tcW w:w="2396" w:type="dxa"/>
            <w:vMerge w:val="restart"/>
            <w:vAlign w:val="center"/>
          </w:tcPr>
          <w:p w:rsidR="00690922" w:rsidRDefault="00666B39">
            <w:r>
              <w:t xml:space="preserve">A.7. </w:t>
            </w:r>
            <w:hyperlink w:anchor="1hmsyys">
              <w:r>
                <w:rPr>
                  <w:color w:val="0000FF"/>
                  <w:u w:val="single"/>
                </w:rPr>
                <w:t>Resource impact</w:t>
              </w:r>
            </w:hyperlink>
          </w:p>
        </w:tc>
        <w:tc>
          <w:tcPr>
            <w:tcW w:w="2501" w:type="dxa"/>
          </w:tcPr>
          <w:p w:rsidR="00690922" w:rsidRDefault="00666B39">
            <w:hyperlink w:anchor="41mghml">
              <w:r>
                <w:rPr>
                  <w:i/>
                  <w:color w:val="0000FF"/>
                  <w:u w:val="single"/>
                </w:rPr>
                <w:t>Faculty PT &amp; FT</w:t>
              </w:r>
            </w:hyperlink>
            <w:r>
              <w:t xml:space="preserve">: </w:t>
            </w:r>
          </w:p>
        </w:tc>
        <w:tc>
          <w:tcPr>
            <w:tcW w:w="5883" w:type="dxa"/>
            <w:gridSpan w:val="4"/>
          </w:tcPr>
          <w:p w:rsidR="00690922" w:rsidRDefault="00666B39">
            <w:pPr>
              <w:rPr>
                <w:b/>
              </w:rPr>
            </w:pPr>
            <w:r>
              <w:rPr>
                <w:b/>
              </w:rPr>
              <w:t>No change</w:t>
            </w:r>
          </w:p>
        </w:tc>
      </w:tr>
      <w:tr w:rsidR="00690922">
        <w:tc>
          <w:tcPr>
            <w:tcW w:w="2396" w:type="dxa"/>
            <w:vMerge/>
            <w:vAlign w:val="center"/>
          </w:tcPr>
          <w:p w:rsidR="00690922" w:rsidRDefault="00690922">
            <w:pPr>
              <w:widowControl w:val="0"/>
              <w:pBdr>
                <w:top w:val="nil"/>
                <w:left w:val="nil"/>
                <w:bottom w:val="nil"/>
                <w:right w:val="nil"/>
                <w:between w:val="nil"/>
              </w:pBdr>
              <w:spacing w:line="276" w:lineRule="auto"/>
              <w:rPr>
                <w:b/>
              </w:rPr>
            </w:pPr>
          </w:p>
        </w:tc>
        <w:tc>
          <w:tcPr>
            <w:tcW w:w="2501" w:type="dxa"/>
          </w:tcPr>
          <w:p w:rsidR="00690922" w:rsidRDefault="00666B39">
            <w:pPr>
              <w:rPr>
                <w:i/>
              </w:rPr>
            </w:pPr>
            <w:hyperlink w:anchor="2grqrue">
              <w:r>
                <w:rPr>
                  <w:i/>
                  <w:color w:val="0000FF"/>
                  <w:u w:val="single"/>
                </w:rPr>
                <w:t>Library</w:t>
              </w:r>
            </w:hyperlink>
            <w:hyperlink w:anchor="2grqrue">
              <w:r>
                <w:rPr>
                  <w:color w:val="0000FF"/>
                  <w:u w:val="single"/>
                </w:rPr>
                <w:t>:</w:t>
              </w:r>
            </w:hyperlink>
          </w:p>
        </w:tc>
        <w:tc>
          <w:tcPr>
            <w:tcW w:w="5883" w:type="dxa"/>
            <w:gridSpan w:val="4"/>
          </w:tcPr>
          <w:p w:rsidR="00690922" w:rsidRDefault="00666B39">
            <w:pPr>
              <w:rPr>
                <w:b/>
              </w:rPr>
            </w:pPr>
            <w:r>
              <w:rPr>
                <w:b/>
              </w:rPr>
              <w:t>No change</w:t>
            </w:r>
          </w:p>
        </w:tc>
      </w:tr>
      <w:tr w:rsidR="00690922">
        <w:tc>
          <w:tcPr>
            <w:tcW w:w="2396" w:type="dxa"/>
            <w:vMerge/>
            <w:vAlign w:val="center"/>
          </w:tcPr>
          <w:p w:rsidR="00690922" w:rsidRDefault="00690922">
            <w:pPr>
              <w:widowControl w:val="0"/>
              <w:pBdr>
                <w:top w:val="nil"/>
                <w:left w:val="nil"/>
                <w:bottom w:val="nil"/>
                <w:right w:val="nil"/>
                <w:between w:val="nil"/>
              </w:pBdr>
              <w:spacing w:line="276" w:lineRule="auto"/>
              <w:rPr>
                <w:b/>
              </w:rPr>
            </w:pPr>
          </w:p>
        </w:tc>
        <w:tc>
          <w:tcPr>
            <w:tcW w:w="2501" w:type="dxa"/>
          </w:tcPr>
          <w:p w:rsidR="00690922" w:rsidRDefault="00666B39">
            <w:hyperlink w:anchor="vx1227">
              <w:r>
                <w:rPr>
                  <w:i/>
                  <w:color w:val="0000FF"/>
                  <w:u w:val="single"/>
                </w:rPr>
                <w:t>Technology</w:t>
              </w:r>
            </w:hyperlink>
          </w:p>
        </w:tc>
        <w:tc>
          <w:tcPr>
            <w:tcW w:w="5883" w:type="dxa"/>
            <w:gridSpan w:val="4"/>
          </w:tcPr>
          <w:p w:rsidR="00690922" w:rsidRDefault="00666B39">
            <w:pPr>
              <w:rPr>
                <w:b/>
              </w:rPr>
            </w:pPr>
            <w:r>
              <w:rPr>
                <w:b/>
              </w:rPr>
              <w:t>No change</w:t>
            </w:r>
          </w:p>
        </w:tc>
      </w:tr>
      <w:tr w:rsidR="00690922">
        <w:tc>
          <w:tcPr>
            <w:tcW w:w="2396" w:type="dxa"/>
            <w:vMerge/>
            <w:vAlign w:val="center"/>
          </w:tcPr>
          <w:p w:rsidR="00690922" w:rsidRDefault="00690922">
            <w:pPr>
              <w:widowControl w:val="0"/>
              <w:pBdr>
                <w:top w:val="nil"/>
                <w:left w:val="nil"/>
                <w:bottom w:val="nil"/>
                <w:right w:val="nil"/>
                <w:between w:val="nil"/>
              </w:pBdr>
              <w:spacing w:line="276" w:lineRule="auto"/>
              <w:rPr>
                <w:b/>
              </w:rPr>
            </w:pPr>
          </w:p>
        </w:tc>
        <w:tc>
          <w:tcPr>
            <w:tcW w:w="2501" w:type="dxa"/>
          </w:tcPr>
          <w:p w:rsidR="00690922" w:rsidRDefault="00666B39">
            <w:pPr>
              <w:rPr>
                <w:i/>
              </w:rPr>
            </w:pPr>
            <w:hyperlink w:anchor="3fwokq0">
              <w:r>
                <w:rPr>
                  <w:i/>
                  <w:color w:val="0000FF"/>
                  <w:u w:val="single"/>
                </w:rPr>
                <w:t>Facilities</w:t>
              </w:r>
            </w:hyperlink>
            <w:r>
              <w:t>:</w:t>
            </w:r>
          </w:p>
        </w:tc>
        <w:tc>
          <w:tcPr>
            <w:tcW w:w="5883" w:type="dxa"/>
            <w:gridSpan w:val="4"/>
          </w:tcPr>
          <w:p w:rsidR="00690922" w:rsidRDefault="00666B39">
            <w:pPr>
              <w:rPr>
                <w:b/>
              </w:rPr>
            </w:pPr>
            <w:r>
              <w:rPr>
                <w:b/>
              </w:rPr>
              <w:t>No change</w:t>
            </w:r>
          </w:p>
        </w:tc>
      </w:tr>
      <w:tr w:rsidR="00690922">
        <w:tc>
          <w:tcPr>
            <w:tcW w:w="2396" w:type="dxa"/>
            <w:vAlign w:val="center"/>
          </w:tcPr>
          <w:p w:rsidR="00690922" w:rsidRDefault="00666B39">
            <w:r>
              <w:t xml:space="preserve">A.8. </w:t>
            </w:r>
            <w:hyperlink w:anchor="3rdcrjn">
              <w:r>
                <w:rPr>
                  <w:color w:val="0000FF"/>
                  <w:u w:val="single"/>
                </w:rPr>
                <w:t>Semester effective</w:t>
              </w:r>
            </w:hyperlink>
          </w:p>
        </w:tc>
        <w:tc>
          <w:tcPr>
            <w:tcW w:w="2501" w:type="dxa"/>
          </w:tcPr>
          <w:p w:rsidR="00690922" w:rsidRDefault="00666B39">
            <w:pPr>
              <w:rPr>
                <w:b/>
              </w:rPr>
            </w:pPr>
            <w:r>
              <w:rPr>
                <w:b/>
              </w:rPr>
              <w:t>Summer 2020</w:t>
            </w:r>
          </w:p>
        </w:tc>
        <w:tc>
          <w:tcPr>
            <w:tcW w:w="2960" w:type="dxa"/>
            <w:gridSpan w:val="2"/>
          </w:tcPr>
          <w:p w:rsidR="00690922" w:rsidRDefault="00666B39">
            <w:pPr>
              <w:rPr>
                <w:b/>
              </w:rPr>
            </w:pPr>
            <w:r>
              <w:rPr>
                <w:b/>
              </w:rPr>
              <w:t xml:space="preserve"> </w:t>
            </w:r>
            <w:r>
              <w:t xml:space="preserve">A.9. </w:t>
            </w:r>
            <w:hyperlink w:anchor="3rdcrjn">
              <w:r>
                <w:rPr>
                  <w:color w:val="0000FF"/>
                  <w:u w:val="single"/>
                </w:rPr>
                <w:t>Rationale if sooner than next Fall</w:t>
              </w:r>
            </w:hyperlink>
          </w:p>
        </w:tc>
        <w:tc>
          <w:tcPr>
            <w:tcW w:w="2923" w:type="dxa"/>
            <w:gridSpan w:val="2"/>
          </w:tcPr>
          <w:p w:rsidR="00690922" w:rsidRDefault="00666B39">
            <w:pPr>
              <w:rPr>
                <w:b/>
              </w:rPr>
            </w:pPr>
            <w:r>
              <w:rPr>
                <w:b/>
              </w:rPr>
              <w:t xml:space="preserve">This course is one of the first in a graduate student’s plan of study </w:t>
            </w:r>
            <w:r>
              <w:rPr>
                <w:b/>
              </w:rPr>
              <w:lastRenderedPageBreak/>
              <w:t>and it is offered in summer 2020.</w:t>
            </w:r>
          </w:p>
        </w:tc>
      </w:tr>
      <w:tr w:rsidR="00690922">
        <w:tc>
          <w:tcPr>
            <w:tcW w:w="10780" w:type="dxa"/>
            <w:gridSpan w:val="6"/>
            <w:vAlign w:val="center"/>
          </w:tcPr>
          <w:p w:rsidR="00690922" w:rsidRDefault="00666B39">
            <w:pPr>
              <w:rPr>
                <w:sz w:val="20"/>
                <w:szCs w:val="20"/>
              </w:rPr>
            </w:pPr>
            <w:r>
              <w:rPr>
                <w:sz w:val="20"/>
                <w:szCs w:val="20"/>
              </w:rPr>
              <w:lastRenderedPageBreak/>
              <w:t xml:space="preserve">A.10. INSTRUCTIONS FOR CATALOG COPY:  This single file copy must include ALL relevant pages from the college catalog, and show how the catalog will be </w:t>
            </w:r>
            <w:r>
              <w:rPr>
                <w:sz w:val="20"/>
                <w:szCs w:val="20"/>
              </w:rPr>
              <w:t>revised.  (1) Go to the “Forms and Information” page on the UCC website. Scroll down until you see the Word files for the current catalog. (2) Download ALL catalog sections relevant for this proposal, including course descriptions and/or other affected pro</w:t>
            </w:r>
            <w:r>
              <w:rPr>
                <w:sz w:val="20"/>
                <w:szCs w:val="20"/>
              </w:rPr>
              <w:t>grams.  (3) Place ALL relevant catalog copy into a single file. Put page breaks between sections and delete any catalog pages not relevant for this proposal. (4) Using the track changes function, revise the catalog pages to demonstrate what the information</w:t>
            </w:r>
            <w:r>
              <w:rPr>
                <w:sz w:val="20"/>
                <w:szCs w:val="20"/>
              </w:rPr>
              <w:t xml:space="preserve"> should look like in next year’s catalog.  (5) Check the revised catalog pages against the proposal form, especially making sure that program totals are correct if adding/deleting course credits. If new copy, indicate where it should go in the catalog. If </w:t>
            </w:r>
            <w:r>
              <w:rPr>
                <w:sz w:val="20"/>
                <w:szCs w:val="20"/>
              </w:rPr>
              <w:t>making related proposals a single catalog copy that includes all is acceptable. Send as a separate file along with this form.</w:t>
            </w:r>
          </w:p>
        </w:tc>
      </w:tr>
    </w:tbl>
    <w:p w:rsidR="00690922" w:rsidRDefault="00690922"/>
    <w:p w:rsidR="007E3B87" w:rsidRDefault="007E3B87"/>
    <w:p w:rsidR="007E3B87" w:rsidRDefault="007E3B87"/>
    <w:p w:rsidR="00690922" w:rsidRDefault="00666B39">
      <w:pPr>
        <w:rPr>
          <w:b/>
          <w:sz w:val="20"/>
          <w:szCs w:val="20"/>
        </w:rPr>
      </w:pPr>
      <w:r>
        <w:t xml:space="preserve">B.  </w:t>
      </w:r>
      <w:hyperlink w:anchor="1v1yuxt">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w:t>
      </w:r>
      <w:r>
        <w:rPr>
          <w:b/>
          <w:smallCaps/>
          <w:color w:val="632423"/>
          <w:sz w:val="20"/>
          <w:szCs w:val="20"/>
        </w:rPr>
        <w:t xml:space="preserve">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690922">
        <w:tc>
          <w:tcPr>
            <w:tcW w:w="3100" w:type="dxa"/>
            <w:shd w:val="clear" w:color="auto" w:fill="FABF8F"/>
            <w:vAlign w:val="center"/>
          </w:tcPr>
          <w:p w:rsidR="00690922" w:rsidRDefault="00690922">
            <w:pPr>
              <w:pStyle w:val="Heading5"/>
              <w:keepNext/>
              <w:spacing w:before="0" w:after="0"/>
            </w:pPr>
            <w:bookmarkStart w:id="14" w:name="z337ya" w:colFirst="0" w:colLast="0"/>
            <w:bookmarkStart w:id="15" w:name="1ksv4uv" w:colFirst="0" w:colLast="0"/>
            <w:bookmarkStart w:id="16" w:name="2xcytpi" w:colFirst="0" w:colLast="0"/>
            <w:bookmarkStart w:id="17" w:name="3as4poj" w:colFirst="0" w:colLast="0"/>
            <w:bookmarkStart w:id="18" w:name="3j2qqm3" w:colFirst="0" w:colLast="0"/>
            <w:bookmarkStart w:id="19" w:name="4i7ojhp" w:colFirst="0" w:colLast="0"/>
            <w:bookmarkStart w:id="20" w:name="2jxsxqh" w:colFirst="0" w:colLast="0"/>
            <w:bookmarkStart w:id="21" w:name="1y810tw" w:colFirst="0" w:colLast="0"/>
            <w:bookmarkStart w:id="22" w:name="qsh70q" w:colFirst="0" w:colLast="0"/>
            <w:bookmarkStart w:id="23" w:name="2bn6wsx" w:colFirst="0" w:colLast="0"/>
            <w:bookmarkStart w:id="24" w:name="1ci93xb" w:colFirst="0" w:colLast="0"/>
            <w:bookmarkStart w:id="25" w:name="44sinio" w:colFirst="0" w:colLast="0"/>
            <w:bookmarkStart w:id="26" w:name="3whwml4" w:colFirst="0" w:colLast="0"/>
            <w:bookmarkEnd w:id="14"/>
            <w:bookmarkEnd w:id="15"/>
            <w:bookmarkEnd w:id="16"/>
            <w:bookmarkEnd w:id="17"/>
            <w:bookmarkEnd w:id="18"/>
            <w:bookmarkEnd w:id="19"/>
            <w:bookmarkEnd w:id="20"/>
            <w:bookmarkEnd w:id="21"/>
            <w:bookmarkEnd w:id="22"/>
            <w:bookmarkEnd w:id="23"/>
            <w:bookmarkEnd w:id="24"/>
            <w:bookmarkEnd w:id="25"/>
            <w:bookmarkEnd w:id="26"/>
          </w:p>
        </w:tc>
        <w:tc>
          <w:tcPr>
            <w:tcW w:w="3840" w:type="dxa"/>
          </w:tcPr>
          <w:p w:rsidR="00690922" w:rsidRDefault="00666B39">
            <w:pPr>
              <w:pStyle w:val="Heading5"/>
              <w:keepNext/>
              <w:spacing w:before="0" w:after="0"/>
              <w:jc w:val="center"/>
            </w:pPr>
            <w:r>
              <w:t>Old (</w:t>
            </w:r>
            <w:hyperlink w:anchor="4f1mdlm">
              <w:r>
                <w:rPr>
                  <w:color w:val="0000FF"/>
                  <w:u w:val="single"/>
                </w:rPr>
                <w:t>for revisions only</w:t>
              </w:r>
            </w:hyperlink>
            <w:r>
              <w:t>)</w:t>
            </w:r>
          </w:p>
          <w:p w:rsidR="00690922" w:rsidRDefault="00666B39">
            <w:r>
              <w:t>Only include information that is being revised, otherwise leave blank (delete provided examples that do not apply)</w:t>
            </w:r>
          </w:p>
        </w:tc>
        <w:tc>
          <w:tcPr>
            <w:tcW w:w="3840" w:type="dxa"/>
          </w:tcPr>
          <w:p w:rsidR="00690922" w:rsidRDefault="00666B39">
            <w:pPr>
              <w:pStyle w:val="Heading5"/>
              <w:keepNext/>
              <w:spacing w:before="0" w:after="0"/>
              <w:jc w:val="center"/>
            </w:pPr>
            <w:r>
              <w:t>New</w:t>
            </w:r>
          </w:p>
          <w:p w:rsidR="00690922" w:rsidRDefault="00666B39">
            <w:r>
              <w:t>Examples are provided for guidance, delete the ones that do not apply</w:t>
            </w:r>
          </w:p>
        </w:tc>
      </w:tr>
      <w:tr w:rsidR="00690922">
        <w:tc>
          <w:tcPr>
            <w:tcW w:w="3100" w:type="dxa"/>
            <w:vAlign w:val="center"/>
          </w:tcPr>
          <w:p w:rsidR="00690922" w:rsidRDefault="00666B39">
            <w:r>
              <w:t xml:space="preserve">B.1. </w:t>
            </w:r>
            <w:hyperlink w:anchor="1ksv4uv">
              <w:r>
                <w:rPr>
                  <w:color w:val="0000FF"/>
                  <w:u w:val="single"/>
                </w:rPr>
                <w:t>Course prefix and number</w:t>
              </w:r>
            </w:hyperlink>
            <w:r>
              <w:t xml:space="preserve"> </w:t>
            </w:r>
          </w:p>
        </w:tc>
        <w:tc>
          <w:tcPr>
            <w:tcW w:w="3840" w:type="dxa"/>
          </w:tcPr>
          <w:p w:rsidR="00690922" w:rsidRDefault="00666B39">
            <w:pPr>
              <w:rPr>
                <w:b/>
              </w:rPr>
            </w:pPr>
            <w:r>
              <w:rPr>
                <w:b/>
              </w:rPr>
              <w:t>FNED 546</w:t>
            </w:r>
          </w:p>
        </w:tc>
        <w:tc>
          <w:tcPr>
            <w:tcW w:w="3840" w:type="dxa"/>
          </w:tcPr>
          <w:p w:rsidR="00690922" w:rsidRDefault="00690922">
            <w:pPr>
              <w:rPr>
                <w:b/>
              </w:rPr>
            </w:pPr>
          </w:p>
        </w:tc>
      </w:tr>
      <w:tr w:rsidR="00690922">
        <w:tc>
          <w:tcPr>
            <w:tcW w:w="3100" w:type="dxa"/>
            <w:vAlign w:val="center"/>
          </w:tcPr>
          <w:p w:rsidR="00690922" w:rsidRDefault="00666B39">
            <w:r>
              <w:t>B.2. Cross listing number if any</w:t>
            </w:r>
          </w:p>
        </w:tc>
        <w:tc>
          <w:tcPr>
            <w:tcW w:w="3840" w:type="dxa"/>
          </w:tcPr>
          <w:p w:rsidR="00690922" w:rsidRDefault="00690922">
            <w:pPr>
              <w:rPr>
                <w:b/>
              </w:rPr>
            </w:pPr>
          </w:p>
        </w:tc>
        <w:tc>
          <w:tcPr>
            <w:tcW w:w="3840" w:type="dxa"/>
          </w:tcPr>
          <w:p w:rsidR="00690922" w:rsidRDefault="00690922">
            <w:pPr>
              <w:rPr>
                <w:b/>
              </w:rPr>
            </w:pPr>
          </w:p>
        </w:tc>
      </w:tr>
      <w:tr w:rsidR="00690922">
        <w:tc>
          <w:tcPr>
            <w:tcW w:w="3100" w:type="dxa"/>
            <w:vAlign w:val="center"/>
          </w:tcPr>
          <w:p w:rsidR="00690922" w:rsidRDefault="00666B39">
            <w:r>
              <w:t xml:space="preserve">B.3. </w:t>
            </w:r>
            <w:hyperlink w:anchor="44sinio">
              <w:r>
                <w:rPr>
                  <w:color w:val="0000FF"/>
                  <w:u w:val="single"/>
                </w:rPr>
                <w:t>Course title</w:t>
              </w:r>
            </w:hyperlink>
            <w:r>
              <w:t xml:space="preserve"> </w:t>
            </w:r>
          </w:p>
        </w:tc>
        <w:tc>
          <w:tcPr>
            <w:tcW w:w="3840" w:type="dxa"/>
          </w:tcPr>
          <w:p w:rsidR="00690922" w:rsidRDefault="00666B39">
            <w:pPr>
              <w:rPr>
                <w:b/>
              </w:rPr>
            </w:pPr>
            <w:r>
              <w:rPr>
                <w:b/>
              </w:rPr>
              <w:t>Contexts of Schooling</w:t>
            </w:r>
          </w:p>
        </w:tc>
        <w:tc>
          <w:tcPr>
            <w:tcW w:w="3840" w:type="dxa"/>
          </w:tcPr>
          <w:p w:rsidR="00690922" w:rsidRDefault="00690922">
            <w:pPr>
              <w:rPr>
                <w:b/>
              </w:rPr>
            </w:pPr>
          </w:p>
        </w:tc>
      </w:tr>
      <w:tr w:rsidR="00690922">
        <w:tc>
          <w:tcPr>
            <w:tcW w:w="3100" w:type="dxa"/>
            <w:vAlign w:val="center"/>
          </w:tcPr>
          <w:p w:rsidR="00690922" w:rsidRDefault="00666B39">
            <w:r>
              <w:t xml:space="preserve">B.4. </w:t>
            </w:r>
            <w:hyperlink w:anchor="2jxsxqh">
              <w:r>
                <w:rPr>
                  <w:color w:val="0000FF"/>
                  <w:u w:val="single"/>
                </w:rPr>
                <w:t>Course description</w:t>
              </w:r>
            </w:hyperlink>
            <w:r>
              <w:t xml:space="preserve"> </w:t>
            </w:r>
          </w:p>
        </w:tc>
        <w:tc>
          <w:tcPr>
            <w:tcW w:w="3840" w:type="dxa"/>
          </w:tcPr>
          <w:p w:rsidR="00690922" w:rsidRDefault="00666B39">
            <w:pPr>
              <w:tabs>
                <w:tab w:val="left" w:pos="690"/>
              </w:tabs>
              <w:rPr>
                <w:b/>
              </w:rPr>
            </w:pPr>
            <w:r>
              <w:rPr>
                <w:b/>
              </w:rPr>
              <w:t>The social and cultural forces that affect schools are examined. Fifteen hours of field-based experience is required.</w:t>
            </w:r>
          </w:p>
        </w:tc>
        <w:tc>
          <w:tcPr>
            <w:tcW w:w="3840" w:type="dxa"/>
          </w:tcPr>
          <w:p w:rsidR="00690922" w:rsidRDefault="00666B39">
            <w:pPr>
              <w:rPr>
                <w:b/>
              </w:rPr>
            </w:pPr>
            <w:r>
              <w:rPr>
                <w:b/>
              </w:rPr>
              <w:t>Graduate students critically examine the purposes of schooling as a tool of oppress</w:t>
            </w:r>
            <w:r>
              <w:rPr>
                <w:b/>
              </w:rPr>
              <w:t>ion or liberation and the sociocultural forces that affect learning. 25 hours of clinical practice are required.</w:t>
            </w:r>
          </w:p>
          <w:p w:rsidR="00690922" w:rsidRDefault="00690922">
            <w:pPr>
              <w:rPr>
                <w:b/>
              </w:rPr>
            </w:pPr>
          </w:p>
        </w:tc>
      </w:tr>
      <w:tr w:rsidR="00690922">
        <w:tc>
          <w:tcPr>
            <w:tcW w:w="3100" w:type="dxa"/>
            <w:vAlign w:val="center"/>
          </w:tcPr>
          <w:p w:rsidR="00690922" w:rsidRDefault="00666B39">
            <w:r>
              <w:t xml:space="preserve">B.5. </w:t>
            </w:r>
            <w:hyperlink w:anchor="z337ya">
              <w:r>
                <w:rPr>
                  <w:color w:val="0000FF"/>
                  <w:u w:val="single"/>
                </w:rPr>
                <w:t>Prerequisite(s)</w:t>
              </w:r>
            </w:hyperlink>
          </w:p>
        </w:tc>
        <w:tc>
          <w:tcPr>
            <w:tcW w:w="3840" w:type="dxa"/>
          </w:tcPr>
          <w:p w:rsidR="00690922" w:rsidRDefault="00690922">
            <w:pPr>
              <w:rPr>
                <w:b/>
              </w:rPr>
            </w:pPr>
          </w:p>
        </w:tc>
        <w:tc>
          <w:tcPr>
            <w:tcW w:w="3840" w:type="dxa"/>
          </w:tcPr>
          <w:p w:rsidR="00690922" w:rsidRDefault="00666B39">
            <w:pPr>
              <w:rPr>
                <w:b/>
              </w:rPr>
            </w:pPr>
            <w:r>
              <w:rPr>
                <w:b/>
              </w:rPr>
              <w:t>Graduate status or consent of department chair</w:t>
            </w:r>
          </w:p>
        </w:tc>
      </w:tr>
      <w:tr w:rsidR="00690922">
        <w:tc>
          <w:tcPr>
            <w:tcW w:w="3100" w:type="dxa"/>
            <w:vAlign w:val="center"/>
          </w:tcPr>
          <w:p w:rsidR="00690922" w:rsidRDefault="00666B39">
            <w:r>
              <w:t xml:space="preserve">B.6. </w:t>
            </w:r>
            <w:hyperlink w:anchor="2u6wntf">
              <w:r>
                <w:rPr>
                  <w:color w:val="0000FF"/>
                  <w:u w:val="single"/>
                </w:rPr>
                <w:t>Offered</w:t>
              </w:r>
            </w:hyperlink>
          </w:p>
        </w:tc>
        <w:tc>
          <w:tcPr>
            <w:tcW w:w="3840" w:type="dxa"/>
          </w:tcPr>
          <w:p w:rsidR="00690922" w:rsidRDefault="00666B39">
            <w:pPr>
              <w:rPr>
                <w:b/>
                <w:sz w:val="20"/>
                <w:szCs w:val="20"/>
              </w:rPr>
            </w:pPr>
            <w:r>
              <w:rPr>
                <w:b/>
                <w:sz w:val="20"/>
                <w:szCs w:val="20"/>
              </w:rPr>
              <w:t xml:space="preserve">Fall  </w:t>
            </w:r>
            <w:r>
              <w:rPr>
                <w:rFonts w:ascii="MS Mincho" w:eastAsia="MS Mincho" w:hAnsi="MS Mincho" w:cs="MS Mincho"/>
                <w:b/>
                <w:sz w:val="20"/>
                <w:szCs w:val="20"/>
              </w:rPr>
              <w:t xml:space="preserve">| </w:t>
            </w:r>
            <w:r>
              <w:rPr>
                <w:b/>
                <w:sz w:val="20"/>
                <w:szCs w:val="20"/>
              </w:rPr>
              <w:t xml:space="preserve">Spring  </w:t>
            </w:r>
            <w:r>
              <w:rPr>
                <w:rFonts w:ascii="MS Mincho" w:eastAsia="MS Mincho" w:hAnsi="MS Mincho" w:cs="MS Mincho"/>
                <w:b/>
                <w:sz w:val="20"/>
                <w:szCs w:val="20"/>
              </w:rPr>
              <w:t xml:space="preserve">| </w:t>
            </w:r>
            <w:r>
              <w:rPr>
                <w:b/>
                <w:sz w:val="20"/>
                <w:szCs w:val="20"/>
              </w:rPr>
              <w:t xml:space="preserve">Summer  </w:t>
            </w:r>
            <w:r>
              <w:rPr>
                <w:rFonts w:ascii="MS Mincho" w:eastAsia="MS Mincho" w:hAnsi="MS Mincho" w:cs="MS Mincho"/>
                <w:b/>
                <w:sz w:val="20"/>
                <w:szCs w:val="20"/>
              </w:rPr>
              <w:t>|</w:t>
            </w:r>
          </w:p>
          <w:p w:rsidR="00690922" w:rsidRDefault="00690922">
            <w:pPr>
              <w:rPr>
                <w:b/>
                <w:sz w:val="20"/>
                <w:szCs w:val="20"/>
              </w:rPr>
            </w:pPr>
          </w:p>
        </w:tc>
        <w:tc>
          <w:tcPr>
            <w:tcW w:w="3840" w:type="dxa"/>
          </w:tcPr>
          <w:p w:rsidR="00690922" w:rsidRDefault="00666B39">
            <w:pPr>
              <w:rPr>
                <w:rFonts w:ascii="MS Mincho" w:eastAsia="MS Mincho" w:hAnsi="MS Mincho" w:cs="MS Mincho"/>
                <w:b/>
                <w:sz w:val="20"/>
                <w:szCs w:val="20"/>
              </w:rPr>
            </w:pPr>
            <w:r>
              <w:rPr>
                <w:b/>
                <w:sz w:val="20"/>
                <w:szCs w:val="20"/>
              </w:rPr>
              <w:t xml:space="preserve">Fall  </w:t>
            </w:r>
            <w:r>
              <w:rPr>
                <w:rFonts w:ascii="MS Mincho" w:eastAsia="MS Mincho" w:hAnsi="MS Mincho" w:cs="MS Mincho"/>
                <w:b/>
                <w:sz w:val="20"/>
                <w:szCs w:val="20"/>
              </w:rPr>
              <w:t xml:space="preserve">| </w:t>
            </w:r>
            <w:r>
              <w:rPr>
                <w:b/>
                <w:sz w:val="20"/>
                <w:szCs w:val="20"/>
              </w:rPr>
              <w:t xml:space="preserve">Spring  </w:t>
            </w:r>
            <w:r>
              <w:rPr>
                <w:rFonts w:ascii="MS Mincho" w:eastAsia="MS Mincho" w:hAnsi="MS Mincho" w:cs="MS Mincho"/>
                <w:b/>
                <w:sz w:val="20"/>
                <w:szCs w:val="20"/>
              </w:rPr>
              <w:t xml:space="preserve">| </w:t>
            </w:r>
            <w:r>
              <w:rPr>
                <w:b/>
                <w:sz w:val="20"/>
                <w:szCs w:val="20"/>
              </w:rPr>
              <w:t xml:space="preserve">Summer  </w:t>
            </w:r>
            <w:r>
              <w:rPr>
                <w:rFonts w:ascii="MS Mincho" w:eastAsia="MS Mincho" w:hAnsi="MS Mincho" w:cs="MS Mincho"/>
                <w:b/>
                <w:sz w:val="20"/>
                <w:szCs w:val="20"/>
              </w:rPr>
              <w:t>|</w:t>
            </w:r>
          </w:p>
          <w:p w:rsidR="00690922" w:rsidRDefault="00690922">
            <w:pPr>
              <w:rPr>
                <w:b/>
                <w:sz w:val="20"/>
                <w:szCs w:val="20"/>
              </w:rPr>
            </w:pPr>
          </w:p>
        </w:tc>
      </w:tr>
      <w:tr w:rsidR="00690922">
        <w:tc>
          <w:tcPr>
            <w:tcW w:w="3100" w:type="dxa"/>
            <w:vAlign w:val="center"/>
          </w:tcPr>
          <w:p w:rsidR="00690922" w:rsidRDefault="00666B39">
            <w:r>
              <w:t xml:space="preserve">B.7. </w:t>
            </w:r>
            <w:hyperlink w:anchor="1y810tw">
              <w:r>
                <w:rPr>
                  <w:color w:val="0000FF"/>
                  <w:u w:val="single"/>
                </w:rPr>
                <w:t>Contact hours</w:t>
              </w:r>
            </w:hyperlink>
            <w:r>
              <w:t xml:space="preserve"> </w:t>
            </w:r>
          </w:p>
        </w:tc>
        <w:tc>
          <w:tcPr>
            <w:tcW w:w="3840" w:type="dxa"/>
          </w:tcPr>
          <w:p w:rsidR="00690922" w:rsidRDefault="00666B39">
            <w:pPr>
              <w:rPr>
                <w:b/>
              </w:rPr>
            </w:pPr>
            <w:r>
              <w:rPr>
                <w:b/>
              </w:rPr>
              <w:t>4</w:t>
            </w:r>
          </w:p>
        </w:tc>
        <w:tc>
          <w:tcPr>
            <w:tcW w:w="3840" w:type="dxa"/>
          </w:tcPr>
          <w:p w:rsidR="00690922" w:rsidRDefault="00666B39">
            <w:pPr>
              <w:rPr>
                <w:b/>
              </w:rPr>
            </w:pPr>
            <w:r>
              <w:rPr>
                <w:b/>
              </w:rPr>
              <w:t>4</w:t>
            </w:r>
          </w:p>
        </w:tc>
      </w:tr>
      <w:tr w:rsidR="00690922">
        <w:tc>
          <w:tcPr>
            <w:tcW w:w="3100" w:type="dxa"/>
            <w:vAlign w:val="center"/>
          </w:tcPr>
          <w:p w:rsidR="00690922" w:rsidRDefault="00666B39">
            <w:r>
              <w:t xml:space="preserve">B.8. </w:t>
            </w:r>
            <w:hyperlink w:anchor="4i7ojhp">
              <w:r>
                <w:rPr>
                  <w:color w:val="0000FF"/>
                  <w:u w:val="single"/>
                </w:rPr>
                <w:t>Credit hours</w:t>
              </w:r>
            </w:hyperlink>
          </w:p>
        </w:tc>
        <w:tc>
          <w:tcPr>
            <w:tcW w:w="3840" w:type="dxa"/>
          </w:tcPr>
          <w:p w:rsidR="00690922" w:rsidRDefault="00666B39">
            <w:pPr>
              <w:rPr>
                <w:b/>
              </w:rPr>
            </w:pPr>
            <w:r>
              <w:rPr>
                <w:b/>
              </w:rPr>
              <w:t>4</w:t>
            </w:r>
          </w:p>
        </w:tc>
        <w:tc>
          <w:tcPr>
            <w:tcW w:w="3840" w:type="dxa"/>
          </w:tcPr>
          <w:p w:rsidR="00690922" w:rsidRDefault="00666B39">
            <w:pPr>
              <w:rPr>
                <w:b/>
              </w:rPr>
            </w:pPr>
            <w:r>
              <w:rPr>
                <w:b/>
              </w:rPr>
              <w:t>4</w:t>
            </w:r>
          </w:p>
        </w:tc>
      </w:tr>
      <w:tr w:rsidR="00690922">
        <w:tc>
          <w:tcPr>
            <w:tcW w:w="3100" w:type="dxa"/>
            <w:vAlign w:val="center"/>
          </w:tcPr>
          <w:p w:rsidR="00690922" w:rsidRDefault="00666B39">
            <w:r>
              <w:t>B.9.</w:t>
            </w:r>
            <w:hyperlink w:anchor="2xcytpi">
              <w:r>
                <w:rPr>
                  <w:color w:val="0000FF"/>
                  <w:u w:val="single"/>
                </w:rPr>
                <w:t xml:space="preserve"> Justify differences if any</w:t>
              </w:r>
            </w:hyperlink>
          </w:p>
        </w:tc>
        <w:tc>
          <w:tcPr>
            <w:tcW w:w="7680" w:type="dxa"/>
            <w:gridSpan w:val="2"/>
          </w:tcPr>
          <w:p w:rsidR="00690922" w:rsidRDefault="00666B39">
            <w:pPr>
              <w:rPr>
                <w:rFonts w:ascii="Calibri" w:eastAsia="Calibri" w:hAnsi="Calibri" w:cs="Calibri"/>
                <w:b/>
                <w:smallCaps/>
              </w:rPr>
            </w:pPr>
            <w:r>
              <w:rPr>
                <w:rFonts w:ascii="Calibri" w:eastAsia="Calibri" w:hAnsi="Calibri" w:cs="Calibri"/>
                <w:b/>
                <w:smallCaps/>
              </w:rPr>
              <w:t>N/A</w:t>
            </w:r>
          </w:p>
        </w:tc>
      </w:tr>
      <w:tr w:rsidR="00690922">
        <w:tc>
          <w:tcPr>
            <w:tcW w:w="3100" w:type="dxa"/>
            <w:vAlign w:val="center"/>
          </w:tcPr>
          <w:p w:rsidR="00690922" w:rsidRDefault="00666B39">
            <w:r>
              <w:t xml:space="preserve">B.10. </w:t>
            </w:r>
            <w:hyperlink w:anchor="19c6y18">
              <w:r>
                <w:rPr>
                  <w:color w:val="0000FF"/>
                  <w:u w:val="single"/>
                </w:rPr>
                <w:t>Grading system</w:t>
              </w:r>
            </w:hyperlink>
            <w:r>
              <w:t xml:space="preserve"> </w:t>
            </w:r>
          </w:p>
        </w:tc>
        <w:tc>
          <w:tcPr>
            <w:tcW w:w="3840" w:type="dxa"/>
          </w:tcPr>
          <w:p w:rsidR="00690922" w:rsidRDefault="00666B39">
            <w:pPr>
              <w:rPr>
                <w:b/>
                <w:sz w:val="20"/>
                <w:szCs w:val="20"/>
              </w:rPr>
            </w:pPr>
            <w:r>
              <w:rPr>
                <w:b/>
                <w:sz w:val="20"/>
                <w:szCs w:val="20"/>
              </w:rPr>
              <w:t xml:space="preserve">Letter grade  </w:t>
            </w:r>
          </w:p>
        </w:tc>
        <w:tc>
          <w:tcPr>
            <w:tcW w:w="3840" w:type="dxa"/>
          </w:tcPr>
          <w:p w:rsidR="00690922" w:rsidRDefault="00666B39">
            <w:pPr>
              <w:rPr>
                <w:b/>
                <w:sz w:val="20"/>
                <w:szCs w:val="20"/>
              </w:rPr>
            </w:pPr>
            <w:r>
              <w:rPr>
                <w:b/>
                <w:sz w:val="20"/>
                <w:szCs w:val="20"/>
              </w:rPr>
              <w:t xml:space="preserve">Letter grade  </w:t>
            </w:r>
          </w:p>
        </w:tc>
      </w:tr>
      <w:tr w:rsidR="00690922">
        <w:tc>
          <w:tcPr>
            <w:tcW w:w="3100" w:type="dxa"/>
            <w:vAlign w:val="center"/>
          </w:tcPr>
          <w:p w:rsidR="00690922" w:rsidRDefault="00666B39">
            <w:r>
              <w:t xml:space="preserve">B.11. </w:t>
            </w:r>
            <w:hyperlink w:anchor="1ci93xb">
              <w:r>
                <w:rPr>
                  <w:color w:val="0000FF"/>
                  <w:u w:val="single"/>
                </w:rPr>
                <w:t>Instructional methods</w:t>
              </w:r>
            </w:hyperlink>
          </w:p>
        </w:tc>
        <w:tc>
          <w:tcPr>
            <w:tcW w:w="3840" w:type="dxa"/>
          </w:tcPr>
          <w:p w:rsidR="00690922" w:rsidRDefault="00690922">
            <w:pPr>
              <w:rPr>
                <w:b/>
                <w:sz w:val="20"/>
                <w:szCs w:val="20"/>
              </w:rPr>
            </w:pPr>
          </w:p>
        </w:tc>
        <w:tc>
          <w:tcPr>
            <w:tcW w:w="3840" w:type="dxa"/>
          </w:tcPr>
          <w:p w:rsidR="00690922" w:rsidRDefault="00666B39">
            <w:pPr>
              <w:rPr>
                <w:b/>
                <w:sz w:val="20"/>
                <w:szCs w:val="20"/>
              </w:rPr>
            </w:pPr>
            <w:r>
              <w:rPr>
                <w:b/>
                <w:sz w:val="20"/>
                <w:szCs w:val="20"/>
              </w:rPr>
              <w:t xml:space="preserve">Clinical practice/service learning  </w:t>
            </w:r>
            <w:r>
              <w:rPr>
                <w:rFonts w:ascii="MS Mincho" w:eastAsia="MS Mincho" w:hAnsi="MS Mincho" w:cs="MS Mincho"/>
                <w:b/>
                <w:sz w:val="20"/>
                <w:szCs w:val="20"/>
              </w:rPr>
              <w:t xml:space="preserve">| </w:t>
            </w:r>
            <w:r>
              <w:rPr>
                <w:b/>
                <w:sz w:val="20"/>
                <w:szCs w:val="20"/>
              </w:rPr>
              <w:t xml:space="preserve">Lecture  </w:t>
            </w:r>
            <w:r>
              <w:rPr>
                <w:rFonts w:ascii="MS Mincho" w:eastAsia="MS Mincho" w:hAnsi="MS Mincho" w:cs="MS Mincho"/>
                <w:b/>
                <w:sz w:val="20"/>
                <w:szCs w:val="20"/>
              </w:rPr>
              <w:t xml:space="preserve">| </w:t>
            </w:r>
            <w:r>
              <w:rPr>
                <w:b/>
                <w:sz w:val="20"/>
                <w:szCs w:val="20"/>
              </w:rPr>
              <w:t>Small group |</w:t>
            </w:r>
          </w:p>
        </w:tc>
      </w:tr>
      <w:tr w:rsidR="00690922">
        <w:tc>
          <w:tcPr>
            <w:tcW w:w="3100" w:type="dxa"/>
            <w:vAlign w:val="center"/>
          </w:tcPr>
          <w:p w:rsidR="00690922" w:rsidRDefault="00666B39">
            <w:r>
              <w:t>B.12.</w:t>
            </w:r>
            <w:hyperlink w:anchor="3whwml4">
              <w:r>
                <w:rPr>
                  <w:color w:val="0000FF"/>
                  <w:u w:val="single"/>
                </w:rPr>
                <w:t>Categories</w:t>
              </w:r>
            </w:hyperlink>
          </w:p>
        </w:tc>
        <w:tc>
          <w:tcPr>
            <w:tcW w:w="3840" w:type="dxa"/>
          </w:tcPr>
          <w:p w:rsidR="00690922" w:rsidRDefault="00666B39">
            <w:pPr>
              <w:rPr>
                <w:b/>
                <w:sz w:val="20"/>
                <w:szCs w:val="20"/>
              </w:rPr>
            </w:pPr>
            <w:r>
              <w:rPr>
                <w:b/>
                <w:sz w:val="20"/>
                <w:szCs w:val="20"/>
              </w:rPr>
              <w:t xml:space="preserve">Required for program   </w:t>
            </w:r>
            <w:r>
              <w:rPr>
                <w:rFonts w:ascii="MS Mincho" w:eastAsia="MS Mincho" w:hAnsi="MS Mincho" w:cs="MS Mincho"/>
                <w:b/>
                <w:sz w:val="20"/>
                <w:szCs w:val="20"/>
              </w:rPr>
              <w:t>|</w:t>
            </w:r>
            <w:r>
              <w:rPr>
                <w:b/>
                <w:sz w:val="20"/>
                <w:szCs w:val="20"/>
              </w:rPr>
              <w:t xml:space="preserve"> Required for Certification </w:t>
            </w:r>
          </w:p>
        </w:tc>
        <w:tc>
          <w:tcPr>
            <w:tcW w:w="3840" w:type="dxa"/>
          </w:tcPr>
          <w:p w:rsidR="00690922" w:rsidRDefault="00666B39">
            <w:pPr>
              <w:rPr>
                <w:b/>
                <w:sz w:val="20"/>
                <w:szCs w:val="20"/>
              </w:rPr>
            </w:pPr>
            <w:r>
              <w:rPr>
                <w:b/>
                <w:sz w:val="20"/>
                <w:szCs w:val="20"/>
              </w:rPr>
              <w:t xml:space="preserve">Required for program  </w:t>
            </w:r>
            <w:r>
              <w:rPr>
                <w:rFonts w:ascii="MS Mincho" w:eastAsia="MS Mincho" w:hAnsi="MS Mincho" w:cs="MS Mincho"/>
                <w:b/>
                <w:sz w:val="20"/>
                <w:szCs w:val="20"/>
              </w:rPr>
              <w:t xml:space="preserve">| </w:t>
            </w:r>
            <w:r>
              <w:rPr>
                <w:b/>
                <w:sz w:val="20"/>
                <w:szCs w:val="20"/>
              </w:rPr>
              <w:t>Required for Certification</w:t>
            </w:r>
          </w:p>
        </w:tc>
      </w:tr>
      <w:tr w:rsidR="00690922">
        <w:tc>
          <w:tcPr>
            <w:tcW w:w="3100" w:type="dxa"/>
            <w:vAlign w:val="center"/>
          </w:tcPr>
          <w:p w:rsidR="00690922" w:rsidRDefault="00666B39">
            <w:r>
              <w:t xml:space="preserve">B.13. </w:t>
            </w:r>
            <w:hyperlink w:anchor="qsh70q">
              <w:r>
                <w:rPr>
                  <w:color w:val="0000FF"/>
                  <w:u w:val="single"/>
                </w:rPr>
                <w:t>How will student performance be evaluated?</w:t>
              </w:r>
            </w:hyperlink>
          </w:p>
        </w:tc>
        <w:tc>
          <w:tcPr>
            <w:tcW w:w="3840" w:type="dxa"/>
          </w:tcPr>
          <w:p w:rsidR="00690922" w:rsidRDefault="00666B39">
            <w:pPr>
              <w:rPr>
                <w:rFonts w:ascii="MS Mincho" w:eastAsia="MS Mincho" w:hAnsi="MS Mincho" w:cs="MS Mincho"/>
                <w:b/>
                <w:sz w:val="20"/>
                <w:szCs w:val="20"/>
              </w:rPr>
            </w:pPr>
            <w:r>
              <w:rPr>
                <w:b/>
                <w:sz w:val="20"/>
                <w:szCs w:val="20"/>
              </w:rPr>
              <w:t xml:space="preserve">Attendance  </w:t>
            </w:r>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rsidR="00690922" w:rsidRDefault="00666B39">
            <w:pPr>
              <w:rPr>
                <w:b/>
                <w:sz w:val="20"/>
                <w:szCs w:val="20"/>
              </w:rPr>
            </w:pPr>
            <w:r>
              <w:rPr>
                <w:b/>
                <w:sz w:val="20"/>
                <w:szCs w:val="20"/>
              </w:rPr>
              <w:t xml:space="preserve">Class Work  </w:t>
            </w:r>
            <w:r>
              <w:rPr>
                <w:rFonts w:ascii="MS Mincho" w:eastAsia="MS Mincho" w:hAnsi="MS Mincho" w:cs="MS Mincho"/>
                <w:b/>
                <w:sz w:val="20"/>
                <w:szCs w:val="20"/>
              </w:rPr>
              <w:t xml:space="preserve">| </w:t>
            </w:r>
            <w:r>
              <w:rPr>
                <w:b/>
                <w:sz w:val="20"/>
                <w:szCs w:val="20"/>
              </w:rPr>
              <w:t xml:space="preserve">Quizzes | Projects </w:t>
            </w:r>
            <w:r>
              <w:rPr>
                <w:rFonts w:ascii="MS Mincho" w:eastAsia="MS Mincho" w:hAnsi="MS Mincho" w:cs="MS Mincho"/>
                <w:b/>
                <w:sz w:val="20"/>
                <w:szCs w:val="20"/>
              </w:rPr>
              <w:t>|</w:t>
            </w:r>
            <w:r>
              <w:rPr>
                <w:b/>
                <w:sz w:val="20"/>
                <w:szCs w:val="20"/>
              </w:rPr>
              <w:t xml:space="preserve"> </w:t>
            </w:r>
          </w:p>
          <w:p w:rsidR="00690922" w:rsidRDefault="00666B39">
            <w:pPr>
              <w:rPr>
                <w:b/>
                <w:sz w:val="20"/>
                <w:szCs w:val="20"/>
              </w:rPr>
            </w:pPr>
            <w:r>
              <w:rPr>
                <w:rFonts w:ascii="MS Mincho" w:eastAsia="MS Mincho" w:hAnsi="MS Mincho" w:cs="MS Mincho"/>
                <w:b/>
                <w:sz w:val="20"/>
                <w:szCs w:val="20"/>
              </w:rPr>
              <w:lastRenderedPageBreak/>
              <w:t>|</w:t>
            </w:r>
            <w:r>
              <w:rPr>
                <w:b/>
                <w:sz w:val="20"/>
                <w:szCs w:val="20"/>
              </w:rPr>
              <w:t xml:space="preserve">  Reports of outside supervisor </w:t>
            </w:r>
          </w:p>
        </w:tc>
        <w:tc>
          <w:tcPr>
            <w:tcW w:w="3840" w:type="dxa"/>
          </w:tcPr>
          <w:p w:rsidR="00690922" w:rsidRDefault="00666B39">
            <w:pPr>
              <w:rPr>
                <w:rFonts w:ascii="MS Mincho" w:eastAsia="MS Mincho" w:hAnsi="MS Mincho" w:cs="MS Mincho"/>
                <w:b/>
                <w:sz w:val="20"/>
                <w:szCs w:val="20"/>
              </w:rPr>
            </w:pPr>
            <w:r>
              <w:rPr>
                <w:b/>
                <w:sz w:val="20"/>
                <w:szCs w:val="20"/>
              </w:rPr>
              <w:lastRenderedPageBreak/>
              <w:t xml:space="preserve">Attendance  </w:t>
            </w:r>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rsidR="00690922" w:rsidRDefault="00666B39">
            <w:pPr>
              <w:rPr>
                <w:b/>
                <w:sz w:val="20"/>
                <w:szCs w:val="20"/>
              </w:rPr>
            </w:pPr>
            <w:r>
              <w:rPr>
                <w:b/>
                <w:sz w:val="20"/>
                <w:szCs w:val="20"/>
              </w:rPr>
              <w:t xml:space="preserve">Class Work  </w:t>
            </w:r>
            <w:r>
              <w:rPr>
                <w:rFonts w:ascii="MS Mincho" w:eastAsia="MS Mincho" w:hAnsi="MS Mincho" w:cs="MS Mincho"/>
                <w:b/>
                <w:sz w:val="20"/>
                <w:szCs w:val="20"/>
              </w:rPr>
              <w:t xml:space="preserve">| </w:t>
            </w:r>
            <w:r>
              <w:rPr>
                <w:b/>
                <w:sz w:val="20"/>
                <w:szCs w:val="20"/>
              </w:rPr>
              <w:t xml:space="preserve">Quizzes | Projects </w:t>
            </w:r>
            <w:r>
              <w:rPr>
                <w:rFonts w:ascii="MS Mincho" w:eastAsia="MS Mincho" w:hAnsi="MS Mincho" w:cs="MS Mincho"/>
                <w:b/>
                <w:sz w:val="20"/>
                <w:szCs w:val="20"/>
              </w:rPr>
              <w:t>|</w:t>
            </w:r>
            <w:r>
              <w:rPr>
                <w:b/>
                <w:sz w:val="20"/>
                <w:szCs w:val="20"/>
              </w:rPr>
              <w:t xml:space="preserve"> </w:t>
            </w:r>
          </w:p>
          <w:p w:rsidR="00690922" w:rsidRDefault="00666B39">
            <w:pPr>
              <w:rPr>
                <w:b/>
                <w:sz w:val="20"/>
                <w:szCs w:val="20"/>
              </w:rPr>
            </w:pPr>
            <w:r>
              <w:rPr>
                <w:rFonts w:ascii="MS Mincho" w:eastAsia="MS Mincho" w:hAnsi="MS Mincho" w:cs="MS Mincho"/>
                <w:b/>
                <w:sz w:val="20"/>
                <w:szCs w:val="20"/>
              </w:rPr>
              <w:lastRenderedPageBreak/>
              <w:t>|</w:t>
            </w:r>
            <w:r>
              <w:rPr>
                <w:b/>
                <w:sz w:val="20"/>
                <w:szCs w:val="20"/>
              </w:rPr>
              <w:t xml:space="preserve">  Reports of outside supervisor</w:t>
            </w:r>
          </w:p>
        </w:tc>
      </w:tr>
    </w:tbl>
    <w:p w:rsidR="00690922" w:rsidRDefault="00690922"/>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023"/>
        <w:gridCol w:w="2559"/>
        <w:gridCol w:w="4198"/>
      </w:tblGrid>
      <w:tr w:rsidR="00690922">
        <w:tc>
          <w:tcPr>
            <w:tcW w:w="4023" w:type="dxa"/>
          </w:tcPr>
          <w:p w:rsidR="00690922" w:rsidRDefault="00666B39">
            <w:pPr>
              <w:rPr>
                <w:b/>
              </w:rPr>
            </w:pPr>
            <w:bookmarkStart w:id="27" w:name="1pxezwc" w:colFirst="0" w:colLast="0"/>
            <w:bookmarkStart w:id="28" w:name="49x2ik5" w:colFirst="0" w:colLast="0"/>
            <w:bookmarkStart w:id="29" w:name="2p2csry" w:colFirst="0" w:colLast="0"/>
            <w:bookmarkEnd w:id="27"/>
            <w:bookmarkEnd w:id="28"/>
            <w:bookmarkEnd w:id="29"/>
            <w:r>
              <w:t>B.18</w:t>
            </w:r>
            <w:r>
              <w:rPr>
                <w:b/>
              </w:rPr>
              <w:t xml:space="preserve">. </w:t>
            </w:r>
            <w:hyperlink w:anchor="1pxezwc">
              <w:r>
                <w:rPr>
                  <w:b/>
                  <w:color w:val="0000FF"/>
                  <w:u w:val="single"/>
                </w:rPr>
                <w:t>Course learni</w:t>
              </w:r>
              <w:r>
                <w:rPr>
                  <w:b/>
                  <w:color w:val="0000FF"/>
                  <w:u w:val="single"/>
                </w:rPr>
                <w:t>ng outcomes</w:t>
              </w:r>
            </w:hyperlink>
            <w:r>
              <w:rPr>
                <w:b/>
                <w:color w:val="0000FF"/>
                <w:u w:val="single"/>
              </w:rPr>
              <w:t>: List each one in a separate row</w:t>
            </w:r>
          </w:p>
        </w:tc>
        <w:tc>
          <w:tcPr>
            <w:tcW w:w="2559" w:type="dxa"/>
          </w:tcPr>
          <w:p w:rsidR="00690922" w:rsidRDefault="00666B39">
            <w:pPr>
              <w:rPr>
                <w:b/>
              </w:rPr>
            </w:pPr>
            <w:hyperlink w:anchor="49x2ik5">
              <w:r>
                <w:rPr>
                  <w:b/>
                  <w:color w:val="0000FF"/>
                  <w:u w:val="single"/>
                </w:rPr>
                <w:t>Professional Org.Standard(s)</w:t>
              </w:r>
            </w:hyperlink>
            <w:r>
              <w:rPr>
                <w:b/>
                <w:color w:val="0000FF"/>
                <w:u w:val="single"/>
              </w:rPr>
              <w:t>, if relevant</w:t>
            </w:r>
          </w:p>
        </w:tc>
        <w:tc>
          <w:tcPr>
            <w:tcW w:w="4198" w:type="dxa"/>
          </w:tcPr>
          <w:p w:rsidR="00690922" w:rsidRDefault="00666B39">
            <w:pPr>
              <w:rPr>
                <w:b/>
              </w:rPr>
            </w:pPr>
            <w:hyperlink w:anchor="2p2csry">
              <w:r>
                <w:rPr>
                  <w:b/>
                  <w:color w:val="0000FF"/>
                  <w:u w:val="single"/>
                </w:rPr>
                <w:t>How will each outcome be measured</w:t>
              </w:r>
            </w:hyperlink>
            <w:r>
              <w:rPr>
                <w:b/>
              </w:rPr>
              <w:t>?</w:t>
            </w:r>
          </w:p>
        </w:tc>
      </w:tr>
      <w:tr w:rsidR="00690922">
        <w:tc>
          <w:tcPr>
            <w:tcW w:w="4023" w:type="dxa"/>
          </w:tcPr>
          <w:p w:rsidR="00690922" w:rsidRDefault="00666B39">
            <w:r>
              <w:rPr>
                <w:rFonts w:ascii="Open Sans" w:eastAsia="Open Sans" w:hAnsi="Open Sans" w:cs="Open Sans"/>
                <w:color w:val="373737"/>
                <w:sz w:val="22"/>
                <w:szCs w:val="22"/>
              </w:rPr>
              <w:t>1. Policy and Practice: to examine the role of history, politics, and culture in shaping current American educational policy and practice</w:t>
            </w:r>
          </w:p>
        </w:tc>
        <w:tc>
          <w:tcPr>
            <w:tcW w:w="2559" w:type="dxa"/>
          </w:tcPr>
          <w:p w:rsidR="00690922" w:rsidRDefault="00666B39">
            <w:r>
              <w:rPr>
                <w:rFonts w:ascii="Open Sans" w:eastAsia="Open Sans" w:hAnsi="Open Sans" w:cs="Open Sans"/>
                <w:color w:val="373737"/>
                <w:sz w:val="22"/>
                <w:szCs w:val="22"/>
              </w:rPr>
              <w:t>RIPTS: 1, 5, 11; CF: General Knowledge, Knowledge of Contexts; FSEHD Outcomes: 4; RI Initiatives: IDEA; English Learne</w:t>
            </w:r>
            <w:r>
              <w:rPr>
                <w:rFonts w:ascii="Open Sans" w:eastAsia="Open Sans" w:hAnsi="Open Sans" w:cs="Open Sans"/>
                <w:color w:val="373737"/>
                <w:sz w:val="22"/>
                <w:szCs w:val="22"/>
              </w:rPr>
              <w:t>r Programs</w:t>
            </w:r>
          </w:p>
          <w:p w:rsidR="00690922" w:rsidRDefault="00690922"/>
        </w:tc>
        <w:tc>
          <w:tcPr>
            <w:tcW w:w="4198" w:type="dxa"/>
          </w:tcPr>
          <w:p w:rsidR="00690922" w:rsidRDefault="00666B39">
            <w:r>
              <w:t>See B.13</w:t>
            </w:r>
          </w:p>
        </w:tc>
      </w:tr>
      <w:tr w:rsidR="00690922">
        <w:tc>
          <w:tcPr>
            <w:tcW w:w="4023" w:type="dxa"/>
          </w:tcPr>
          <w:p w:rsidR="00690922" w:rsidRDefault="00666B39">
            <w:pPr>
              <w:pBdr>
                <w:top w:val="nil"/>
                <w:left w:val="nil"/>
                <w:bottom w:val="nil"/>
                <w:right w:val="nil"/>
                <w:between w:val="nil"/>
              </w:pBdr>
              <w:spacing w:after="380"/>
              <w:rPr>
                <w:color w:val="000000"/>
              </w:rPr>
            </w:pPr>
            <w:r>
              <w:rPr>
                <w:rFonts w:ascii="Open Sans" w:eastAsia="Open Sans" w:hAnsi="Open Sans" w:cs="Open Sans"/>
                <w:color w:val="373737"/>
                <w:sz w:val="22"/>
                <w:szCs w:val="22"/>
              </w:rPr>
              <w:t>2. Schooling for Social Justice: to question the assumptions about the purposes of schooling, the student-teacher relationship, and the role of schools in promoting or hindering equitable opportunities for academic and social growth</w:t>
            </w:r>
          </w:p>
          <w:p w:rsidR="00690922" w:rsidRDefault="00690922"/>
        </w:tc>
        <w:tc>
          <w:tcPr>
            <w:tcW w:w="2559" w:type="dxa"/>
          </w:tcPr>
          <w:p w:rsidR="00690922" w:rsidRDefault="00666B39">
            <w:pPr>
              <w:pBdr>
                <w:top w:val="nil"/>
                <w:left w:val="nil"/>
                <w:bottom w:val="nil"/>
                <w:right w:val="nil"/>
                <w:between w:val="nil"/>
              </w:pBdr>
              <w:spacing w:after="380"/>
              <w:rPr>
                <w:color w:val="000000"/>
              </w:rPr>
            </w:pPr>
            <w:r>
              <w:rPr>
                <w:rFonts w:ascii="Open Sans" w:eastAsia="Open Sans" w:hAnsi="Open Sans" w:cs="Open Sans"/>
                <w:color w:val="373737"/>
                <w:sz w:val="22"/>
                <w:szCs w:val="22"/>
              </w:rPr>
              <w:t xml:space="preserve"> RIPTS: 1, 5; CF: Knowledge of Contexts, Professional Ethics; FSEHD Outcomes: 3; RI Initiatives: Bullying and School Violence, Social-Emotional Learning </w:t>
            </w:r>
          </w:p>
          <w:p w:rsidR="00690922" w:rsidRDefault="00690922"/>
        </w:tc>
        <w:tc>
          <w:tcPr>
            <w:tcW w:w="4198" w:type="dxa"/>
          </w:tcPr>
          <w:p w:rsidR="00690922" w:rsidRDefault="00666B39">
            <w:r>
              <w:t>See B.13</w:t>
            </w:r>
          </w:p>
        </w:tc>
      </w:tr>
      <w:tr w:rsidR="00690922">
        <w:tc>
          <w:tcPr>
            <w:tcW w:w="4023" w:type="dxa"/>
          </w:tcPr>
          <w:p w:rsidR="00690922" w:rsidRDefault="00666B39">
            <w:pPr>
              <w:pBdr>
                <w:top w:val="nil"/>
                <w:left w:val="nil"/>
                <w:bottom w:val="nil"/>
                <w:right w:val="nil"/>
                <w:between w:val="nil"/>
              </w:pBdr>
              <w:spacing w:after="380"/>
              <w:rPr>
                <w:color w:val="000000"/>
              </w:rPr>
            </w:pPr>
            <w:r>
              <w:rPr>
                <w:rFonts w:ascii="Open Sans" w:eastAsia="Open Sans" w:hAnsi="Open Sans" w:cs="Open Sans"/>
                <w:color w:val="373737"/>
                <w:sz w:val="22"/>
                <w:szCs w:val="22"/>
              </w:rPr>
              <w:t>3. Personal Dispositions: to recognize, critically examine, and thoughtfully respond to the</w:t>
            </w:r>
            <w:r>
              <w:rPr>
                <w:rFonts w:ascii="Open Sans" w:eastAsia="Open Sans" w:hAnsi="Open Sans" w:cs="Open Sans"/>
                <w:color w:val="373737"/>
                <w:sz w:val="22"/>
                <w:szCs w:val="22"/>
              </w:rPr>
              <w:t xml:space="preserve"> complicated dynamics of power that manifest in personal attitudes and approaches to ethnicity, race, language, social class, religion, gender, sexual orientation, and exceptionality</w:t>
            </w:r>
          </w:p>
          <w:p w:rsidR="00690922" w:rsidRDefault="00690922">
            <w:pPr>
              <w:pBdr>
                <w:top w:val="nil"/>
                <w:left w:val="nil"/>
                <w:bottom w:val="nil"/>
                <w:right w:val="nil"/>
                <w:between w:val="nil"/>
              </w:pBdr>
              <w:spacing w:after="380"/>
              <w:rPr>
                <w:rFonts w:ascii="Open Sans" w:eastAsia="Open Sans" w:hAnsi="Open Sans" w:cs="Open Sans"/>
                <w:color w:val="373737"/>
                <w:sz w:val="22"/>
                <w:szCs w:val="22"/>
              </w:rPr>
            </w:pPr>
          </w:p>
        </w:tc>
        <w:tc>
          <w:tcPr>
            <w:tcW w:w="2559" w:type="dxa"/>
          </w:tcPr>
          <w:p w:rsidR="00690922" w:rsidRDefault="00666B39">
            <w:pPr>
              <w:pBdr>
                <w:top w:val="nil"/>
                <w:left w:val="nil"/>
                <w:bottom w:val="nil"/>
                <w:right w:val="nil"/>
                <w:between w:val="nil"/>
              </w:pBdr>
              <w:spacing w:after="380"/>
              <w:rPr>
                <w:rFonts w:ascii="Open Sans" w:eastAsia="Open Sans" w:hAnsi="Open Sans" w:cs="Open Sans"/>
                <w:color w:val="373737"/>
                <w:sz w:val="22"/>
                <w:szCs w:val="22"/>
              </w:rPr>
            </w:pPr>
            <w:r>
              <w:rPr>
                <w:rFonts w:ascii="Open Sans" w:eastAsia="Open Sans" w:hAnsi="Open Sans" w:cs="Open Sans"/>
                <w:color w:val="373737"/>
                <w:sz w:val="22"/>
                <w:szCs w:val="22"/>
              </w:rPr>
              <w:t>RIPTS: 4, 5; CF: General Knowledge, Knowledge of Contexts, Cultural Diversity, Collaboration/Advocacy; FSEHD Outcomes: 3</w:t>
            </w:r>
          </w:p>
        </w:tc>
        <w:tc>
          <w:tcPr>
            <w:tcW w:w="4198" w:type="dxa"/>
          </w:tcPr>
          <w:p w:rsidR="00690922" w:rsidRDefault="00666B39">
            <w:r>
              <w:t>See B.13</w:t>
            </w:r>
          </w:p>
        </w:tc>
      </w:tr>
      <w:tr w:rsidR="00690922">
        <w:tc>
          <w:tcPr>
            <w:tcW w:w="4023" w:type="dxa"/>
          </w:tcPr>
          <w:p w:rsidR="00690922" w:rsidRDefault="00666B39">
            <w:pPr>
              <w:pBdr>
                <w:top w:val="nil"/>
                <w:left w:val="nil"/>
                <w:bottom w:val="nil"/>
                <w:right w:val="nil"/>
                <w:between w:val="nil"/>
              </w:pBdr>
              <w:spacing w:after="380"/>
              <w:rPr>
                <w:color w:val="000000"/>
              </w:rPr>
            </w:pPr>
            <w:r>
              <w:rPr>
                <w:rFonts w:ascii="Open Sans" w:eastAsia="Open Sans" w:hAnsi="Open Sans" w:cs="Open Sans"/>
                <w:color w:val="373737"/>
                <w:sz w:val="22"/>
                <w:szCs w:val="22"/>
              </w:rPr>
              <w:t>4. Service Learning: to gain insight into the perspectives and experiences of students from historically under-represented gr</w:t>
            </w:r>
            <w:r>
              <w:rPr>
                <w:rFonts w:ascii="Open Sans" w:eastAsia="Open Sans" w:hAnsi="Open Sans" w:cs="Open Sans"/>
                <w:color w:val="373737"/>
                <w:sz w:val="22"/>
                <w:szCs w:val="22"/>
              </w:rPr>
              <w:t xml:space="preserve">oups (or to reflect upon one’s own experiences as a member of those </w:t>
            </w:r>
            <w:r>
              <w:rPr>
                <w:rFonts w:ascii="Open Sans" w:eastAsia="Open Sans" w:hAnsi="Open Sans" w:cs="Open Sans"/>
                <w:color w:val="373737"/>
                <w:sz w:val="22"/>
                <w:szCs w:val="22"/>
              </w:rPr>
              <w:lastRenderedPageBreak/>
              <w:t>groups) through engagement in service learning activities in approved public K-12 schools or other educational institutions serving diverse populations</w:t>
            </w:r>
          </w:p>
        </w:tc>
        <w:tc>
          <w:tcPr>
            <w:tcW w:w="2559" w:type="dxa"/>
          </w:tcPr>
          <w:p w:rsidR="00690922" w:rsidRDefault="00666B39">
            <w:pPr>
              <w:pBdr>
                <w:top w:val="nil"/>
                <w:left w:val="nil"/>
                <w:bottom w:val="nil"/>
                <w:right w:val="nil"/>
                <w:between w:val="nil"/>
              </w:pBdr>
              <w:spacing w:after="380"/>
              <w:rPr>
                <w:rFonts w:ascii="Open Sans" w:eastAsia="Open Sans" w:hAnsi="Open Sans" w:cs="Open Sans"/>
                <w:color w:val="373737"/>
                <w:sz w:val="22"/>
                <w:szCs w:val="22"/>
              </w:rPr>
            </w:pPr>
            <w:r>
              <w:rPr>
                <w:rFonts w:ascii="Open Sans" w:eastAsia="Open Sans" w:hAnsi="Open Sans" w:cs="Open Sans"/>
                <w:color w:val="373737"/>
                <w:sz w:val="22"/>
                <w:szCs w:val="22"/>
              </w:rPr>
              <w:lastRenderedPageBreak/>
              <w:t>RIPTS: 3, 4, 5, 6, 7, 10; CF: Knowle</w:t>
            </w:r>
            <w:r>
              <w:rPr>
                <w:rFonts w:ascii="Open Sans" w:eastAsia="Open Sans" w:hAnsi="Open Sans" w:cs="Open Sans"/>
                <w:color w:val="373737"/>
                <w:sz w:val="22"/>
                <w:szCs w:val="22"/>
              </w:rPr>
              <w:t xml:space="preserve">dge of Contexts, Cultural Diversity, Collaboration/Advocacy; FSEHD Outcomes: 2, </w:t>
            </w:r>
            <w:r>
              <w:rPr>
                <w:rFonts w:ascii="Open Sans" w:eastAsia="Open Sans" w:hAnsi="Open Sans" w:cs="Open Sans"/>
                <w:color w:val="373737"/>
                <w:sz w:val="22"/>
                <w:szCs w:val="22"/>
              </w:rPr>
              <w:lastRenderedPageBreak/>
              <w:t>5; RI Initiatives: Bullying and School Violence; InfoWorks, SurveyWorks; Social-Emotional Learning</w:t>
            </w:r>
          </w:p>
        </w:tc>
        <w:tc>
          <w:tcPr>
            <w:tcW w:w="4198" w:type="dxa"/>
          </w:tcPr>
          <w:p w:rsidR="00690922" w:rsidRDefault="00666B39">
            <w:r>
              <w:lastRenderedPageBreak/>
              <w:t>See B.13</w:t>
            </w:r>
          </w:p>
          <w:p w:rsidR="00690922" w:rsidRDefault="00690922"/>
          <w:p w:rsidR="00690922" w:rsidRDefault="00690922"/>
          <w:p w:rsidR="00690922" w:rsidRDefault="00690922"/>
          <w:p w:rsidR="00690922" w:rsidRDefault="00690922"/>
          <w:p w:rsidR="00690922" w:rsidRDefault="00690922"/>
          <w:p w:rsidR="00690922" w:rsidRDefault="00690922"/>
          <w:p w:rsidR="00690922" w:rsidRDefault="00690922"/>
          <w:p w:rsidR="00690922" w:rsidRDefault="00690922"/>
          <w:p w:rsidR="00690922" w:rsidRDefault="00690922"/>
        </w:tc>
      </w:tr>
      <w:tr w:rsidR="00690922">
        <w:tc>
          <w:tcPr>
            <w:tcW w:w="4023" w:type="dxa"/>
          </w:tcPr>
          <w:p w:rsidR="00690922" w:rsidRDefault="00666B39">
            <w:pPr>
              <w:pBdr>
                <w:top w:val="nil"/>
                <w:left w:val="nil"/>
                <w:bottom w:val="nil"/>
                <w:right w:val="nil"/>
                <w:between w:val="nil"/>
              </w:pBdr>
              <w:spacing w:after="380"/>
              <w:rPr>
                <w:color w:val="000000"/>
              </w:rPr>
            </w:pPr>
            <w:r>
              <w:rPr>
                <w:rFonts w:ascii="Open Sans" w:eastAsia="Open Sans" w:hAnsi="Open Sans" w:cs="Open Sans"/>
                <w:color w:val="373737"/>
                <w:sz w:val="22"/>
                <w:szCs w:val="22"/>
              </w:rPr>
              <w:lastRenderedPageBreak/>
              <w:t>5. Critical Literacy: to develop and hone receptive and expressive communication skills (reading, writing, speaking, and digital formats) in order to analyze and interpret the world as it is and as we wish it to be.  </w:t>
            </w:r>
          </w:p>
        </w:tc>
        <w:tc>
          <w:tcPr>
            <w:tcW w:w="2559" w:type="dxa"/>
          </w:tcPr>
          <w:p w:rsidR="00690922" w:rsidRDefault="00666B39">
            <w:pPr>
              <w:pBdr>
                <w:top w:val="nil"/>
                <w:left w:val="nil"/>
                <w:bottom w:val="nil"/>
                <w:right w:val="nil"/>
                <w:between w:val="nil"/>
              </w:pBdr>
              <w:spacing w:after="380"/>
              <w:rPr>
                <w:color w:val="000000"/>
              </w:rPr>
            </w:pPr>
            <w:r>
              <w:rPr>
                <w:rFonts w:ascii="Open Sans" w:eastAsia="Open Sans" w:hAnsi="Open Sans" w:cs="Open Sans"/>
                <w:color w:val="373737"/>
                <w:sz w:val="22"/>
                <w:szCs w:val="22"/>
              </w:rPr>
              <w:t>RIPTS: 5, 8; CF: General Knowledge; FS</w:t>
            </w:r>
            <w:r>
              <w:rPr>
                <w:rFonts w:ascii="Open Sans" w:eastAsia="Open Sans" w:hAnsi="Open Sans" w:cs="Open Sans"/>
                <w:color w:val="373737"/>
                <w:sz w:val="22"/>
                <w:szCs w:val="22"/>
              </w:rPr>
              <w:t>EHD Outcomes: 3</w:t>
            </w:r>
          </w:p>
          <w:p w:rsidR="00690922" w:rsidRDefault="00690922">
            <w:pPr>
              <w:pBdr>
                <w:top w:val="nil"/>
                <w:left w:val="nil"/>
                <w:bottom w:val="nil"/>
                <w:right w:val="nil"/>
                <w:between w:val="nil"/>
              </w:pBdr>
              <w:spacing w:after="380"/>
              <w:rPr>
                <w:rFonts w:ascii="Open Sans" w:eastAsia="Open Sans" w:hAnsi="Open Sans" w:cs="Open Sans"/>
                <w:color w:val="373737"/>
                <w:sz w:val="22"/>
                <w:szCs w:val="22"/>
              </w:rPr>
            </w:pPr>
          </w:p>
        </w:tc>
        <w:tc>
          <w:tcPr>
            <w:tcW w:w="4198" w:type="dxa"/>
          </w:tcPr>
          <w:p w:rsidR="00690922" w:rsidRDefault="00666B39">
            <w:r>
              <w:t>See B.13</w:t>
            </w:r>
          </w:p>
        </w:tc>
      </w:tr>
    </w:tbl>
    <w:p w:rsidR="00690922" w:rsidRDefault="00690922"/>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690922">
        <w:tc>
          <w:tcPr>
            <w:tcW w:w="10780" w:type="dxa"/>
          </w:tcPr>
          <w:p w:rsidR="00690922" w:rsidRDefault="00666B39">
            <w:pPr>
              <w:keepNext/>
            </w:pPr>
            <w:bookmarkStart w:id="30" w:name="147n2zr" w:colFirst="0" w:colLast="0"/>
            <w:bookmarkEnd w:id="30"/>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690922">
        <w:tc>
          <w:tcPr>
            <w:tcW w:w="10780" w:type="dxa"/>
          </w:tcPr>
          <w:p w:rsidR="00690922" w:rsidRDefault="00666B39">
            <w:pPr>
              <w:pBdr>
                <w:top w:val="nil"/>
                <w:left w:val="nil"/>
                <w:bottom w:val="nil"/>
                <w:right w:val="nil"/>
                <w:between w:val="nil"/>
              </w:pBdr>
              <w:rPr>
                <w:color w:val="000000"/>
              </w:rPr>
            </w:pPr>
            <w:r>
              <w:rPr>
                <w:rFonts w:ascii="Open Sans" w:eastAsia="Open Sans" w:hAnsi="Open Sans" w:cs="Open Sans"/>
                <w:color w:val="000000"/>
                <w:sz w:val="22"/>
                <w:szCs w:val="22"/>
              </w:rPr>
              <w:t>Service Learning</w:t>
            </w:r>
          </w:p>
          <w:p w:rsidR="00690922" w:rsidRDefault="00666B39">
            <w:pPr>
              <w:numPr>
                <w:ilvl w:val="1"/>
                <w:numId w:val="2"/>
              </w:numPr>
              <w:pBdr>
                <w:top w:val="nil"/>
                <w:left w:val="nil"/>
                <w:bottom w:val="nil"/>
                <w:right w:val="nil"/>
                <w:between w:val="nil"/>
              </w:pBdr>
              <w:rPr>
                <w:color w:val="000000"/>
              </w:rPr>
            </w:pPr>
            <w:r>
              <w:rPr>
                <w:rFonts w:ascii="Open Sans" w:eastAsia="Open Sans" w:hAnsi="Open Sans" w:cs="Open Sans"/>
                <w:color w:val="000000"/>
                <w:sz w:val="22"/>
                <w:szCs w:val="22"/>
              </w:rPr>
              <w:t>Personal Dispositions and Implicit Bias</w:t>
            </w:r>
          </w:p>
          <w:p w:rsidR="00690922" w:rsidRDefault="00666B39">
            <w:pPr>
              <w:numPr>
                <w:ilvl w:val="1"/>
                <w:numId w:val="2"/>
              </w:numPr>
              <w:pBdr>
                <w:top w:val="nil"/>
                <w:left w:val="nil"/>
                <w:bottom w:val="nil"/>
                <w:right w:val="nil"/>
                <w:between w:val="nil"/>
              </w:pBdr>
              <w:rPr>
                <w:color w:val="000000"/>
              </w:rPr>
            </w:pPr>
            <w:r>
              <w:rPr>
                <w:rFonts w:ascii="Open Sans" w:eastAsia="Open Sans" w:hAnsi="Open Sans" w:cs="Open Sans"/>
                <w:color w:val="000000"/>
                <w:sz w:val="22"/>
                <w:szCs w:val="22"/>
              </w:rPr>
              <w:t>School Context and Community</w:t>
            </w:r>
          </w:p>
          <w:p w:rsidR="00690922" w:rsidRDefault="00666B39">
            <w:pPr>
              <w:numPr>
                <w:ilvl w:val="1"/>
                <w:numId w:val="2"/>
              </w:numPr>
              <w:pBdr>
                <w:top w:val="nil"/>
                <w:left w:val="nil"/>
                <w:bottom w:val="nil"/>
                <w:right w:val="nil"/>
                <w:between w:val="nil"/>
              </w:pBdr>
              <w:rPr>
                <w:color w:val="000000"/>
              </w:rPr>
            </w:pPr>
            <w:r>
              <w:rPr>
                <w:rFonts w:ascii="Open Sans" w:eastAsia="Open Sans" w:hAnsi="Open Sans" w:cs="Open Sans"/>
                <w:color w:val="000000"/>
                <w:sz w:val="22"/>
                <w:szCs w:val="22"/>
              </w:rPr>
              <w:t>Sociocultural factors that affect learning</w:t>
            </w:r>
          </w:p>
          <w:p w:rsidR="00690922" w:rsidRDefault="00666B39">
            <w:pPr>
              <w:numPr>
                <w:ilvl w:val="1"/>
                <w:numId w:val="2"/>
              </w:numPr>
              <w:pBdr>
                <w:top w:val="nil"/>
                <w:left w:val="nil"/>
                <w:bottom w:val="nil"/>
                <w:right w:val="nil"/>
                <w:between w:val="nil"/>
              </w:pBdr>
              <w:rPr>
                <w:color w:val="000000"/>
              </w:rPr>
            </w:pPr>
            <w:r>
              <w:rPr>
                <w:rFonts w:ascii="Open Sans" w:eastAsia="Open Sans" w:hAnsi="Open Sans" w:cs="Open Sans"/>
                <w:color w:val="000000"/>
                <w:sz w:val="22"/>
                <w:szCs w:val="22"/>
              </w:rPr>
              <w:t>Hidden curriculum</w:t>
            </w:r>
          </w:p>
          <w:p w:rsidR="00690922" w:rsidRDefault="00666B39">
            <w:pPr>
              <w:numPr>
                <w:ilvl w:val="1"/>
                <w:numId w:val="2"/>
              </w:numPr>
              <w:pBdr>
                <w:top w:val="nil"/>
                <w:left w:val="nil"/>
                <w:bottom w:val="nil"/>
                <w:right w:val="nil"/>
                <w:between w:val="nil"/>
              </w:pBdr>
              <w:rPr>
                <w:color w:val="000000"/>
              </w:rPr>
            </w:pPr>
            <w:r>
              <w:rPr>
                <w:rFonts w:ascii="Open Sans" w:eastAsia="Open Sans" w:hAnsi="Open Sans" w:cs="Open Sans"/>
                <w:color w:val="000000"/>
                <w:sz w:val="22"/>
                <w:szCs w:val="22"/>
              </w:rPr>
              <w:t>Student-Teacher Relationships</w:t>
            </w:r>
          </w:p>
          <w:p w:rsidR="00690922" w:rsidRDefault="00666B39">
            <w:pPr>
              <w:numPr>
                <w:ilvl w:val="1"/>
                <w:numId w:val="2"/>
              </w:numPr>
              <w:pBdr>
                <w:top w:val="nil"/>
                <w:left w:val="nil"/>
                <w:bottom w:val="nil"/>
                <w:right w:val="nil"/>
                <w:between w:val="nil"/>
              </w:pBdr>
              <w:rPr>
                <w:color w:val="000000"/>
              </w:rPr>
            </w:pPr>
            <w:r>
              <w:rPr>
                <w:rFonts w:ascii="Open Sans" w:eastAsia="Open Sans" w:hAnsi="Open Sans" w:cs="Open Sans"/>
                <w:color w:val="000000"/>
                <w:sz w:val="22"/>
                <w:szCs w:val="22"/>
              </w:rPr>
              <w:t>RI Initiative: InfoWorks and Survey Works</w:t>
            </w:r>
          </w:p>
          <w:p w:rsidR="00690922" w:rsidRDefault="00666B39">
            <w:pPr>
              <w:numPr>
                <w:ilvl w:val="1"/>
                <w:numId w:val="2"/>
              </w:numPr>
              <w:pBdr>
                <w:top w:val="nil"/>
                <w:left w:val="nil"/>
                <w:bottom w:val="nil"/>
                <w:right w:val="nil"/>
                <w:between w:val="nil"/>
              </w:pBdr>
              <w:rPr>
                <w:color w:val="000000"/>
              </w:rPr>
            </w:pPr>
            <w:r>
              <w:rPr>
                <w:rFonts w:ascii="Open Sans" w:eastAsia="Open Sans" w:hAnsi="Open Sans" w:cs="Open Sans"/>
                <w:color w:val="000000"/>
                <w:sz w:val="22"/>
                <w:szCs w:val="22"/>
              </w:rPr>
              <w:t>RI Initiative: Social-Emotional Learning</w:t>
            </w:r>
          </w:p>
          <w:p w:rsidR="00690922" w:rsidRDefault="00666B39">
            <w:pPr>
              <w:pBdr>
                <w:top w:val="nil"/>
                <w:left w:val="nil"/>
                <w:bottom w:val="nil"/>
                <w:right w:val="nil"/>
                <w:between w:val="nil"/>
              </w:pBdr>
              <w:rPr>
                <w:color w:val="000000"/>
              </w:rPr>
            </w:pPr>
            <w:r>
              <w:rPr>
                <w:rFonts w:ascii="Open Sans" w:eastAsia="Open Sans" w:hAnsi="Open Sans" w:cs="Open Sans"/>
                <w:color w:val="000000"/>
                <w:sz w:val="22"/>
                <w:szCs w:val="22"/>
              </w:rPr>
              <w:t>Social Justice Frameworks and Key Vocabulary</w:t>
            </w:r>
          </w:p>
          <w:p w:rsidR="00690922" w:rsidRDefault="00666B39">
            <w:pPr>
              <w:numPr>
                <w:ilvl w:val="1"/>
                <w:numId w:val="3"/>
              </w:numPr>
              <w:pBdr>
                <w:top w:val="nil"/>
                <w:left w:val="nil"/>
                <w:bottom w:val="nil"/>
                <w:right w:val="nil"/>
                <w:between w:val="nil"/>
              </w:pBdr>
              <w:rPr>
                <w:color w:val="000000"/>
              </w:rPr>
            </w:pPr>
            <w:r>
              <w:rPr>
                <w:rFonts w:ascii="Open Sans" w:eastAsia="Open Sans" w:hAnsi="Open Sans" w:cs="Open Sans"/>
                <w:color w:val="000000"/>
                <w:sz w:val="22"/>
                <w:szCs w:val="22"/>
              </w:rPr>
              <w:t>Individualism versus Systems and Structures</w:t>
            </w:r>
          </w:p>
          <w:p w:rsidR="00690922" w:rsidRDefault="00666B39">
            <w:pPr>
              <w:numPr>
                <w:ilvl w:val="1"/>
                <w:numId w:val="3"/>
              </w:numPr>
              <w:pBdr>
                <w:top w:val="nil"/>
                <w:left w:val="nil"/>
                <w:bottom w:val="nil"/>
                <w:right w:val="nil"/>
                <w:between w:val="nil"/>
              </w:pBdr>
              <w:rPr>
                <w:color w:val="000000"/>
              </w:rPr>
            </w:pPr>
            <w:r>
              <w:rPr>
                <w:rFonts w:ascii="Open Sans" w:eastAsia="Open Sans" w:hAnsi="Open Sans" w:cs="Open Sans"/>
                <w:color w:val="000000"/>
                <w:sz w:val="22"/>
                <w:szCs w:val="22"/>
              </w:rPr>
              <w:t>Critical Stance</w:t>
            </w:r>
          </w:p>
          <w:p w:rsidR="00690922" w:rsidRDefault="00666B39">
            <w:pPr>
              <w:numPr>
                <w:ilvl w:val="1"/>
                <w:numId w:val="3"/>
              </w:numPr>
              <w:pBdr>
                <w:top w:val="nil"/>
                <w:left w:val="nil"/>
                <w:bottom w:val="nil"/>
                <w:right w:val="nil"/>
                <w:between w:val="nil"/>
              </w:pBdr>
              <w:rPr>
                <w:color w:val="000000"/>
              </w:rPr>
            </w:pPr>
            <w:r>
              <w:rPr>
                <w:rFonts w:ascii="Open Sans" w:eastAsia="Open Sans" w:hAnsi="Open Sans" w:cs="Open Sans"/>
                <w:color w:val="000000"/>
                <w:sz w:val="22"/>
                <w:szCs w:val="22"/>
              </w:rPr>
              <w:t>Media Literacy</w:t>
            </w:r>
          </w:p>
          <w:p w:rsidR="00690922" w:rsidRDefault="00666B39">
            <w:pPr>
              <w:numPr>
                <w:ilvl w:val="1"/>
                <w:numId w:val="3"/>
              </w:numPr>
              <w:pBdr>
                <w:top w:val="nil"/>
                <w:left w:val="nil"/>
                <w:bottom w:val="nil"/>
                <w:right w:val="nil"/>
                <w:between w:val="nil"/>
              </w:pBdr>
              <w:rPr>
                <w:color w:val="000000"/>
              </w:rPr>
            </w:pPr>
            <w:r>
              <w:rPr>
                <w:rFonts w:ascii="Open Sans" w:eastAsia="Open Sans" w:hAnsi="Open Sans" w:cs="Open Sans"/>
                <w:color w:val="000000"/>
                <w:sz w:val="22"/>
                <w:szCs w:val="22"/>
              </w:rPr>
              <w:t>Privilege, Power and Difference</w:t>
            </w:r>
          </w:p>
          <w:p w:rsidR="00690922" w:rsidRDefault="00666B39">
            <w:pPr>
              <w:numPr>
                <w:ilvl w:val="1"/>
                <w:numId w:val="3"/>
              </w:numPr>
              <w:pBdr>
                <w:top w:val="nil"/>
                <w:left w:val="nil"/>
                <w:bottom w:val="nil"/>
                <w:right w:val="nil"/>
                <w:between w:val="nil"/>
              </w:pBdr>
              <w:rPr>
                <w:color w:val="000000"/>
              </w:rPr>
            </w:pPr>
            <w:r>
              <w:rPr>
                <w:rFonts w:ascii="Open Sans" w:eastAsia="Open Sans" w:hAnsi="Open Sans" w:cs="Open Sans"/>
                <w:color w:val="000000"/>
                <w:sz w:val="22"/>
                <w:szCs w:val="22"/>
              </w:rPr>
              <w:t>Oppression (Features of)</w:t>
            </w:r>
          </w:p>
          <w:p w:rsidR="00690922" w:rsidRDefault="00666B39">
            <w:pPr>
              <w:pBdr>
                <w:top w:val="nil"/>
                <w:left w:val="nil"/>
                <w:bottom w:val="nil"/>
                <w:right w:val="nil"/>
                <w:between w:val="nil"/>
              </w:pBdr>
              <w:rPr>
                <w:color w:val="000000"/>
              </w:rPr>
            </w:pPr>
            <w:r>
              <w:rPr>
                <w:rFonts w:ascii="Open Sans" w:eastAsia="Open Sans" w:hAnsi="Open Sans" w:cs="Open Sans"/>
                <w:color w:val="000000"/>
                <w:sz w:val="22"/>
                <w:szCs w:val="22"/>
              </w:rPr>
              <w:t>Race-based systems</w:t>
            </w:r>
          </w:p>
          <w:p w:rsidR="00690922" w:rsidRDefault="00666B39">
            <w:pPr>
              <w:numPr>
                <w:ilvl w:val="1"/>
                <w:numId w:val="4"/>
              </w:numPr>
              <w:pBdr>
                <w:top w:val="nil"/>
                <w:left w:val="nil"/>
                <w:bottom w:val="nil"/>
                <w:right w:val="nil"/>
                <w:between w:val="nil"/>
              </w:pBdr>
              <w:rPr>
                <w:color w:val="000000"/>
              </w:rPr>
            </w:pPr>
            <w:r>
              <w:rPr>
                <w:rFonts w:ascii="Open Sans" w:eastAsia="Open Sans" w:hAnsi="Open Sans" w:cs="Open Sans"/>
                <w:color w:val="000000"/>
                <w:sz w:val="22"/>
                <w:szCs w:val="22"/>
              </w:rPr>
              <w:t>Historical context</w:t>
            </w:r>
          </w:p>
          <w:p w:rsidR="00690922" w:rsidRDefault="00666B39">
            <w:pPr>
              <w:numPr>
                <w:ilvl w:val="1"/>
                <w:numId w:val="4"/>
              </w:numPr>
              <w:pBdr>
                <w:top w:val="nil"/>
                <w:left w:val="nil"/>
                <w:bottom w:val="nil"/>
                <w:right w:val="nil"/>
                <w:between w:val="nil"/>
              </w:pBdr>
              <w:rPr>
                <w:color w:val="000000"/>
              </w:rPr>
            </w:pPr>
            <w:r>
              <w:rPr>
                <w:rFonts w:ascii="Open Sans" w:eastAsia="Open Sans" w:hAnsi="Open Sans" w:cs="Open Sans"/>
                <w:color w:val="000000"/>
                <w:sz w:val="22"/>
                <w:szCs w:val="22"/>
              </w:rPr>
              <w:t>Social construction of race</w:t>
            </w:r>
          </w:p>
          <w:p w:rsidR="00690922" w:rsidRDefault="00666B39">
            <w:pPr>
              <w:numPr>
                <w:ilvl w:val="1"/>
                <w:numId w:val="4"/>
              </w:numPr>
              <w:pBdr>
                <w:top w:val="nil"/>
                <w:left w:val="nil"/>
                <w:bottom w:val="nil"/>
                <w:right w:val="nil"/>
                <w:between w:val="nil"/>
              </w:pBdr>
              <w:rPr>
                <w:color w:val="000000"/>
              </w:rPr>
            </w:pPr>
            <w:r>
              <w:rPr>
                <w:rFonts w:ascii="Open Sans" w:eastAsia="Open Sans" w:hAnsi="Open Sans" w:cs="Open Sans"/>
                <w:color w:val="000000"/>
                <w:sz w:val="22"/>
                <w:szCs w:val="22"/>
              </w:rPr>
              <w:t>School segregation</w:t>
            </w:r>
          </w:p>
          <w:p w:rsidR="00690922" w:rsidRDefault="00666B39">
            <w:pPr>
              <w:numPr>
                <w:ilvl w:val="1"/>
                <w:numId w:val="4"/>
              </w:numPr>
              <w:pBdr>
                <w:top w:val="nil"/>
                <w:left w:val="nil"/>
                <w:bottom w:val="nil"/>
                <w:right w:val="nil"/>
                <w:between w:val="nil"/>
              </w:pBdr>
              <w:rPr>
                <w:color w:val="000000"/>
              </w:rPr>
            </w:pPr>
            <w:r>
              <w:rPr>
                <w:rFonts w:ascii="Open Sans" w:eastAsia="Open Sans" w:hAnsi="Open Sans" w:cs="Open Sans"/>
                <w:color w:val="000000"/>
                <w:sz w:val="22"/>
                <w:szCs w:val="22"/>
              </w:rPr>
              <w:t>Effect of race on academic achievement</w:t>
            </w:r>
          </w:p>
          <w:p w:rsidR="00690922" w:rsidRDefault="00666B39">
            <w:pPr>
              <w:numPr>
                <w:ilvl w:val="1"/>
                <w:numId w:val="4"/>
              </w:numPr>
              <w:pBdr>
                <w:top w:val="nil"/>
                <w:left w:val="nil"/>
                <w:bottom w:val="nil"/>
                <w:right w:val="nil"/>
                <w:between w:val="nil"/>
              </w:pBdr>
              <w:rPr>
                <w:color w:val="000000"/>
              </w:rPr>
            </w:pPr>
            <w:r>
              <w:rPr>
                <w:rFonts w:ascii="Open Sans" w:eastAsia="Open Sans" w:hAnsi="Open Sans" w:cs="Open Sans"/>
                <w:color w:val="000000"/>
                <w:sz w:val="22"/>
                <w:szCs w:val="22"/>
              </w:rPr>
              <w:t>Why Black lives matter</w:t>
            </w:r>
          </w:p>
          <w:p w:rsidR="00690922" w:rsidRDefault="00666B39">
            <w:pPr>
              <w:numPr>
                <w:ilvl w:val="1"/>
                <w:numId w:val="4"/>
              </w:numPr>
              <w:pBdr>
                <w:top w:val="nil"/>
                <w:left w:val="nil"/>
                <w:bottom w:val="nil"/>
                <w:right w:val="nil"/>
                <w:between w:val="nil"/>
              </w:pBdr>
              <w:rPr>
                <w:color w:val="000000"/>
              </w:rPr>
            </w:pPr>
            <w:r>
              <w:rPr>
                <w:rFonts w:ascii="Open Sans" w:eastAsia="Open Sans" w:hAnsi="Open Sans" w:cs="Open Sans"/>
                <w:color w:val="000000"/>
                <w:sz w:val="22"/>
                <w:szCs w:val="22"/>
              </w:rPr>
              <w:t>InfoWorks and Survey Works (RI Initiatives)</w:t>
            </w:r>
          </w:p>
          <w:p w:rsidR="00690922" w:rsidRDefault="00666B39">
            <w:pPr>
              <w:pBdr>
                <w:top w:val="nil"/>
                <w:left w:val="nil"/>
                <w:bottom w:val="nil"/>
                <w:right w:val="nil"/>
                <w:between w:val="nil"/>
              </w:pBdr>
              <w:rPr>
                <w:color w:val="000000"/>
              </w:rPr>
            </w:pPr>
            <w:r>
              <w:rPr>
                <w:rFonts w:ascii="Open Sans" w:eastAsia="Open Sans" w:hAnsi="Open Sans" w:cs="Open Sans"/>
                <w:color w:val="000000"/>
                <w:sz w:val="22"/>
                <w:szCs w:val="22"/>
              </w:rPr>
              <w:t>Class-based systems</w:t>
            </w:r>
          </w:p>
          <w:p w:rsidR="00690922" w:rsidRDefault="00666B39">
            <w:pPr>
              <w:numPr>
                <w:ilvl w:val="1"/>
                <w:numId w:val="6"/>
              </w:numPr>
              <w:pBdr>
                <w:top w:val="nil"/>
                <w:left w:val="nil"/>
                <w:bottom w:val="nil"/>
                <w:right w:val="nil"/>
                <w:between w:val="nil"/>
              </w:pBdr>
              <w:rPr>
                <w:color w:val="000000"/>
              </w:rPr>
            </w:pPr>
            <w:r>
              <w:rPr>
                <w:rFonts w:ascii="Open Sans" w:eastAsia="Open Sans" w:hAnsi="Open Sans" w:cs="Open Sans"/>
                <w:color w:val="000000"/>
                <w:sz w:val="22"/>
                <w:szCs w:val="22"/>
              </w:rPr>
              <w:t>Historical context</w:t>
            </w:r>
          </w:p>
          <w:p w:rsidR="00690922" w:rsidRDefault="00666B39">
            <w:pPr>
              <w:numPr>
                <w:ilvl w:val="1"/>
                <w:numId w:val="6"/>
              </w:numPr>
              <w:pBdr>
                <w:top w:val="nil"/>
                <w:left w:val="nil"/>
                <w:bottom w:val="nil"/>
                <w:right w:val="nil"/>
                <w:between w:val="nil"/>
              </w:pBdr>
              <w:rPr>
                <w:color w:val="000000"/>
              </w:rPr>
            </w:pPr>
            <w:r>
              <w:rPr>
                <w:rFonts w:ascii="Open Sans" w:eastAsia="Open Sans" w:hAnsi="Open Sans" w:cs="Open Sans"/>
                <w:color w:val="000000"/>
                <w:sz w:val="22"/>
                <w:szCs w:val="22"/>
              </w:rPr>
              <w:t>Definitions of social class</w:t>
            </w:r>
          </w:p>
          <w:p w:rsidR="00690922" w:rsidRDefault="00666B39">
            <w:pPr>
              <w:numPr>
                <w:ilvl w:val="1"/>
                <w:numId w:val="6"/>
              </w:numPr>
              <w:pBdr>
                <w:top w:val="nil"/>
                <w:left w:val="nil"/>
                <w:bottom w:val="nil"/>
                <w:right w:val="nil"/>
                <w:between w:val="nil"/>
              </w:pBdr>
              <w:rPr>
                <w:color w:val="000000"/>
              </w:rPr>
            </w:pPr>
            <w:r>
              <w:rPr>
                <w:rFonts w:ascii="Open Sans" w:eastAsia="Open Sans" w:hAnsi="Open Sans" w:cs="Open Sans"/>
                <w:color w:val="000000"/>
                <w:sz w:val="22"/>
                <w:szCs w:val="22"/>
              </w:rPr>
              <w:t>The culture of class: privilege and poverty</w:t>
            </w:r>
          </w:p>
          <w:p w:rsidR="00690922" w:rsidRDefault="00666B39">
            <w:pPr>
              <w:numPr>
                <w:ilvl w:val="1"/>
                <w:numId w:val="6"/>
              </w:numPr>
              <w:pBdr>
                <w:top w:val="nil"/>
                <w:left w:val="nil"/>
                <w:bottom w:val="nil"/>
                <w:right w:val="nil"/>
                <w:between w:val="nil"/>
              </w:pBdr>
              <w:rPr>
                <w:color w:val="000000"/>
              </w:rPr>
            </w:pPr>
            <w:r>
              <w:rPr>
                <w:rFonts w:ascii="Open Sans" w:eastAsia="Open Sans" w:hAnsi="Open Sans" w:cs="Open Sans"/>
                <w:color w:val="000000"/>
                <w:sz w:val="22"/>
                <w:szCs w:val="22"/>
              </w:rPr>
              <w:t>Effect of social class on academic achievement</w:t>
            </w:r>
          </w:p>
          <w:p w:rsidR="00690922" w:rsidRDefault="00666B39">
            <w:pPr>
              <w:numPr>
                <w:ilvl w:val="1"/>
                <w:numId w:val="6"/>
              </w:numPr>
              <w:pBdr>
                <w:top w:val="nil"/>
                <w:left w:val="nil"/>
                <w:bottom w:val="nil"/>
                <w:right w:val="nil"/>
                <w:between w:val="nil"/>
              </w:pBdr>
              <w:rPr>
                <w:color w:val="000000"/>
              </w:rPr>
            </w:pPr>
            <w:r>
              <w:rPr>
                <w:rFonts w:ascii="Open Sans" w:eastAsia="Open Sans" w:hAnsi="Open Sans" w:cs="Open Sans"/>
                <w:color w:val="000000"/>
                <w:sz w:val="22"/>
                <w:szCs w:val="22"/>
              </w:rPr>
              <w:t xml:space="preserve">InfoWorks and Survey Works (RI </w:t>
            </w:r>
            <w:r>
              <w:rPr>
                <w:rFonts w:ascii="Open Sans" w:eastAsia="Open Sans" w:hAnsi="Open Sans" w:cs="Open Sans"/>
                <w:color w:val="000000"/>
                <w:sz w:val="22"/>
                <w:szCs w:val="22"/>
              </w:rPr>
              <w:t>Initiatives)</w:t>
            </w:r>
          </w:p>
          <w:p w:rsidR="00690922" w:rsidRDefault="00666B39">
            <w:pPr>
              <w:pBdr>
                <w:top w:val="nil"/>
                <w:left w:val="nil"/>
                <w:bottom w:val="nil"/>
                <w:right w:val="nil"/>
                <w:between w:val="nil"/>
              </w:pBdr>
              <w:rPr>
                <w:color w:val="000000"/>
              </w:rPr>
            </w:pPr>
            <w:r>
              <w:rPr>
                <w:rFonts w:ascii="Open Sans" w:eastAsia="Open Sans" w:hAnsi="Open Sans" w:cs="Open Sans"/>
                <w:color w:val="000000"/>
                <w:sz w:val="22"/>
                <w:szCs w:val="22"/>
              </w:rPr>
              <w:lastRenderedPageBreak/>
              <w:t>Language-based systems</w:t>
            </w:r>
          </w:p>
          <w:p w:rsidR="00690922" w:rsidRDefault="00666B39">
            <w:pPr>
              <w:numPr>
                <w:ilvl w:val="1"/>
                <w:numId w:val="8"/>
              </w:numPr>
              <w:pBdr>
                <w:top w:val="nil"/>
                <w:left w:val="nil"/>
                <w:bottom w:val="nil"/>
                <w:right w:val="nil"/>
                <w:between w:val="nil"/>
              </w:pBdr>
              <w:rPr>
                <w:color w:val="000000"/>
              </w:rPr>
            </w:pPr>
            <w:r>
              <w:rPr>
                <w:rFonts w:ascii="Open Sans" w:eastAsia="Open Sans" w:hAnsi="Open Sans" w:cs="Open Sans"/>
                <w:color w:val="000000"/>
                <w:sz w:val="22"/>
                <w:szCs w:val="22"/>
              </w:rPr>
              <w:t>Historical context</w:t>
            </w:r>
          </w:p>
          <w:p w:rsidR="00690922" w:rsidRDefault="00666B39">
            <w:pPr>
              <w:numPr>
                <w:ilvl w:val="1"/>
                <w:numId w:val="8"/>
              </w:numPr>
              <w:pBdr>
                <w:top w:val="nil"/>
                <w:left w:val="nil"/>
                <w:bottom w:val="nil"/>
                <w:right w:val="nil"/>
                <w:between w:val="nil"/>
              </w:pBdr>
              <w:rPr>
                <w:color w:val="000000"/>
              </w:rPr>
            </w:pPr>
            <w:r>
              <w:rPr>
                <w:rFonts w:ascii="Open Sans" w:eastAsia="Open Sans" w:hAnsi="Open Sans" w:cs="Open Sans"/>
                <w:color w:val="000000"/>
                <w:sz w:val="22"/>
                <w:szCs w:val="22"/>
              </w:rPr>
              <w:t>English-Only Ideology vs. Translanguaging</w:t>
            </w:r>
          </w:p>
          <w:p w:rsidR="00690922" w:rsidRDefault="00666B39">
            <w:pPr>
              <w:numPr>
                <w:ilvl w:val="1"/>
                <w:numId w:val="8"/>
              </w:numPr>
              <w:pBdr>
                <w:top w:val="nil"/>
                <w:left w:val="nil"/>
                <w:bottom w:val="nil"/>
                <w:right w:val="nil"/>
                <w:between w:val="nil"/>
              </w:pBdr>
              <w:rPr>
                <w:color w:val="000000"/>
              </w:rPr>
            </w:pPr>
            <w:r>
              <w:rPr>
                <w:rFonts w:ascii="Open Sans" w:eastAsia="Open Sans" w:hAnsi="Open Sans" w:cs="Open Sans"/>
                <w:color w:val="000000"/>
                <w:sz w:val="22"/>
                <w:szCs w:val="22"/>
              </w:rPr>
              <w:t>Effect of primary language on academic achievement</w:t>
            </w:r>
          </w:p>
          <w:p w:rsidR="00690922" w:rsidRDefault="00666B39">
            <w:pPr>
              <w:numPr>
                <w:ilvl w:val="1"/>
                <w:numId w:val="8"/>
              </w:numPr>
              <w:pBdr>
                <w:top w:val="nil"/>
                <w:left w:val="nil"/>
                <w:bottom w:val="nil"/>
                <w:right w:val="nil"/>
                <w:between w:val="nil"/>
              </w:pBdr>
              <w:rPr>
                <w:color w:val="000000"/>
              </w:rPr>
            </w:pPr>
            <w:r>
              <w:rPr>
                <w:rFonts w:ascii="Open Sans" w:eastAsia="Open Sans" w:hAnsi="Open Sans" w:cs="Open Sans"/>
                <w:color w:val="000000"/>
                <w:sz w:val="22"/>
                <w:szCs w:val="22"/>
              </w:rPr>
              <w:t>RI Initiative: English Learner Programs</w:t>
            </w:r>
          </w:p>
          <w:p w:rsidR="00690922" w:rsidRDefault="00666B39">
            <w:pPr>
              <w:numPr>
                <w:ilvl w:val="1"/>
                <w:numId w:val="8"/>
              </w:numPr>
              <w:pBdr>
                <w:top w:val="nil"/>
                <w:left w:val="nil"/>
                <w:bottom w:val="nil"/>
                <w:right w:val="nil"/>
                <w:between w:val="nil"/>
              </w:pBdr>
              <w:rPr>
                <w:color w:val="000000"/>
              </w:rPr>
            </w:pPr>
            <w:r>
              <w:rPr>
                <w:rFonts w:ascii="Open Sans" w:eastAsia="Open Sans" w:hAnsi="Open Sans" w:cs="Open Sans"/>
                <w:color w:val="000000"/>
                <w:sz w:val="22"/>
                <w:szCs w:val="22"/>
              </w:rPr>
              <w:t>InfoWorks and Survey Works (RI Initiative)</w:t>
            </w:r>
          </w:p>
          <w:p w:rsidR="00690922" w:rsidRDefault="00666B39">
            <w:pPr>
              <w:pBdr>
                <w:top w:val="nil"/>
                <w:left w:val="nil"/>
                <w:bottom w:val="nil"/>
                <w:right w:val="nil"/>
                <w:between w:val="nil"/>
              </w:pBdr>
              <w:rPr>
                <w:color w:val="000000"/>
              </w:rPr>
            </w:pPr>
            <w:r>
              <w:rPr>
                <w:rFonts w:ascii="Open Sans" w:eastAsia="Open Sans" w:hAnsi="Open Sans" w:cs="Open Sans"/>
                <w:color w:val="000000"/>
                <w:sz w:val="22"/>
                <w:szCs w:val="22"/>
              </w:rPr>
              <w:t>Ability-based systems</w:t>
            </w:r>
          </w:p>
          <w:p w:rsidR="00690922" w:rsidRDefault="00666B39">
            <w:pPr>
              <w:numPr>
                <w:ilvl w:val="1"/>
                <w:numId w:val="5"/>
              </w:numPr>
              <w:pBdr>
                <w:top w:val="nil"/>
                <w:left w:val="nil"/>
                <w:bottom w:val="nil"/>
                <w:right w:val="nil"/>
                <w:between w:val="nil"/>
              </w:pBdr>
              <w:rPr>
                <w:color w:val="000000"/>
              </w:rPr>
            </w:pPr>
            <w:r>
              <w:rPr>
                <w:rFonts w:ascii="Open Sans" w:eastAsia="Open Sans" w:hAnsi="Open Sans" w:cs="Open Sans"/>
                <w:color w:val="000000"/>
                <w:sz w:val="22"/>
                <w:szCs w:val="22"/>
              </w:rPr>
              <w:t>Historical context</w:t>
            </w:r>
          </w:p>
          <w:p w:rsidR="00690922" w:rsidRDefault="00666B39">
            <w:pPr>
              <w:numPr>
                <w:ilvl w:val="1"/>
                <w:numId w:val="5"/>
              </w:numPr>
              <w:pBdr>
                <w:top w:val="nil"/>
                <w:left w:val="nil"/>
                <w:bottom w:val="nil"/>
                <w:right w:val="nil"/>
                <w:between w:val="nil"/>
              </w:pBdr>
              <w:rPr>
                <w:color w:val="000000"/>
              </w:rPr>
            </w:pPr>
            <w:r>
              <w:rPr>
                <w:rFonts w:ascii="Open Sans" w:eastAsia="Open Sans" w:hAnsi="Open Sans" w:cs="Open Sans"/>
                <w:color w:val="000000"/>
                <w:sz w:val="22"/>
                <w:szCs w:val="22"/>
              </w:rPr>
              <w:t>Ableis</w:t>
            </w:r>
            <w:bookmarkStart w:id="31" w:name="_GoBack"/>
            <w:bookmarkEnd w:id="31"/>
            <w:r>
              <w:rPr>
                <w:rFonts w:ascii="Open Sans" w:eastAsia="Open Sans" w:hAnsi="Open Sans" w:cs="Open Sans"/>
                <w:color w:val="000000"/>
                <w:sz w:val="22"/>
                <w:szCs w:val="22"/>
              </w:rPr>
              <w:t>m</w:t>
            </w:r>
          </w:p>
          <w:p w:rsidR="00690922" w:rsidRDefault="00666B39">
            <w:pPr>
              <w:numPr>
                <w:ilvl w:val="1"/>
                <w:numId w:val="5"/>
              </w:numPr>
              <w:pBdr>
                <w:top w:val="nil"/>
                <w:left w:val="nil"/>
                <w:bottom w:val="nil"/>
                <w:right w:val="nil"/>
                <w:between w:val="nil"/>
              </w:pBdr>
              <w:rPr>
                <w:color w:val="000000"/>
              </w:rPr>
            </w:pPr>
            <w:r>
              <w:rPr>
                <w:rFonts w:ascii="Open Sans" w:eastAsia="Open Sans" w:hAnsi="Open Sans" w:cs="Open Sans"/>
                <w:color w:val="000000"/>
                <w:sz w:val="22"/>
                <w:szCs w:val="22"/>
              </w:rPr>
              <w:t>Inclusion</w:t>
            </w:r>
          </w:p>
          <w:p w:rsidR="00690922" w:rsidRDefault="00666B39">
            <w:pPr>
              <w:numPr>
                <w:ilvl w:val="1"/>
                <w:numId w:val="5"/>
              </w:numPr>
              <w:pBdr>
                <w:top w:val="nil"/>
                <w:left w:val="nil"/>
                <w:bottom w:val="nil"/>
                <w:right w:val="nil"/>
                <w:between w:val="nil"/>
              </w:pBdr>
              <w:rPr>
                <w:color w:val="000000"/>
              </w:rPr>
            </w:pPr>
            <w:r>
              <w:rPr>
                <w:rFonts w:ascii="Open Sans" w:eastAsia="Open Sans" w:hAnsi="Open Sans" w:cs="Open Sans"/>
                <w:color w:val="000000"/>
                <w:sz w:val="22"/>
                <w:szCs w:val="22"/>
              </w:rPr>
              <w:t>IDEA (RI Initiative)</w:t>
            </w:r>
          </w:p>
          <w:p w:rsidR="00690922" w:rsidRDefault="00666B39">
            <w:pPr>
              <w:numPr>
                <w:ilvl w:val="1"/>
                <w:numId w:val="5"/>
              </w:numPr>
              <w:pBdr>
                <w:top w:val="nil"/>
                <w:left w:val="nil"/>
                <w:bottom w:val="nil"/>
                <w:right w:val="nil"/>
                <w:between w:val="nil"/>
              </w:pBdr>
              <w:rPr>
                <w:color w:val="000000"/>
              </w:rPr>
            </w:pPr>
            <w:r>
              <w:rPr>
                <w:rFonts w:ascii="Open Sans" w:eastAsia="Open Sans" w:hAnsi="Open Sans" w:cs="Open Sans"/>
                <w:color w:val="000000"/>
                <w:sz w:val="22"/>
                <w:szCs w:val="22"/>
              </w:rPr>
              <w:t>InfoWorks and Survey Works (RI Initiative)</w:t>
            </w:r>
          </w:p>
          <w:p w:rsidR="00690922" w:rsidRDefault="00666B39">
            <w:pPr>
              <w:pBdr>
                <w:top w:val="nil"/>
                <w:left w:val="nil"/>
                <w:bottom w:val="nil"/>
                <w:right w:val="nil"/>
                <w:between w:val="nil"/>
              </w:pBdr>
              <w:rPr>
                <w:color w:val="000000"/>
              </w:rPr>
            </w:pPr>
            <w:r>
              <w:rPr>
                <w:rFonts w:ascii="Open Sans" w:eastAsia="Open Sans" w:hAnsi="Open Sans" w:cs="Open Sans"/>
                <w:color w:val="000000"/>
                <w:sz w:val="22"/>
                <w:szCs w:val="22"/>
              </w:rPr>
              <w:t>Sex and Gender-based systems</w:t>
            </w:r>
          </w:p>
          <w:p w:rsidR="00690922" w:rsidRDefault="00666B39">
            <w:pPr>
              <w:numPr>
                <w:ilvl w:val="1"/>
                <w:numId w:val="7"/>
              </w:numPr>
              <w:pBdr>
                <w:top w:val="nil"/>
                <w:left w:val="nil"/>
                <w:bottom w:val="nil"/>
                <w:right w:val="nil"/>
                <w:between w:val="nil"/>
              </w:pBdr>
              <w:rPr>
                <w:color w:val="000000"/>
              </w:rPr>
            </w:pPr>
            <w:r>
              <w:rPr>
                <w:rFonts w:ascii="Open Sans" w:eastAsia="Open Sans" w:hAnsi="Open Sans" w:cs="Open Sans"/>
                <w:color w:val="000000"/>
                <w:sz w:val="22"/>
                <w:szCs w:val="22"/>
              </w:rPr>
              <w:t>Historical context</w:t>
            </w:r>
          </w:p>
          <w:p w:rsidR="00690922" w:rsidRDefault="00666B39">
            <w:pPr>
              <w:numPr>
                <w:ilvl w:val="1"/>
                <w:numId w:val="7"/>
              </w:numPr>
              <w:pBdr>
                <w:top w:val="nil"/>
                <w:left w:val="nil"/>
                <w:bottom w:val="nil"/>
                <w:right w:val="nil"/>
                <w:between w:val="nil"/>
              </w:pBdr>
              <w:rPr>
                <w:color w:val="000000"/>
              </w:rPr>
            </w:pPr>
            <w:r>
              <w:rPr>
                <w:rFonts w:ascii="Open Sans" w:eastAsia="Open Sans" w:hAnsi="Open Sans" w:cs="Open Sans"/>
                <w:color w:val="000000"/>
                <w:sz w:val="22"/>
                <w:szCs w:val="22"/>
              </w:rPr>
              <w:t>Sex versus Gender</w:t>
            </w:r>
          </w:p>
          <w:p w:rsidR="00690922" w:rsidRDefault="00666B39">
            <w:pPr>
              <w:numPr>
                <w:ilvl w:val="1"/>
                <w:numId w:val="7"/>
              </w:numPr>
              <w:pBdr>
                <w:top w:val="nil"/>
                <w:left w:val="nil"/>
                <w:bottom w:val="nil"/>
                <w:right w:val="nil"/>
                <w:between w:val="nil"/>
              </w:pBdr>
              <w:rPr>
                <w:color w:val="000000"/>
              </w:rPr>
            </w:pPr>
            <w:r>
              <w:rPr>
                <w:rFonts w:ascii="Open Sans" w:eastAsia="Open Sans" w:hAnsi="Open Sans" w:cs="Open Sans"/>
                <w:color w:val="000000"/>
                <w:sz w:val="22"/>
                <w:szCs w:val="22"/>
              </w:rPr>
              <w:t>LGBTQ+ communities</w:t>
            </w:r>
          </w:p>
          <w:p w:rsidR="00690922" w:rsidRDefault="00666B39">
            <w:pPr>
              <w:numPr>
                <w:ilvl w:val="1"/>
                <w:numId w:val="7"/>
              </w:numPr>
              <w:pBdr>
                <w:top w:val="nil"/>
                <w:left w:val="nil"/>
                <w:bottom w:val="nil"/>
                <w:right w:val="nil"/>
                <w:between w:val="nil"/>
              </w:pBdr>
              <w:rPr>
                <w:color w:val="000000"/>
              </w:rPr>
            </w:pPr>
            <w:r>
              <w:rPr>
                <w:rFonts w:ascii="Open Sans" w:eastAsia="Open Sans" w:hAnsi="Open Sans" w:cs="Open Sans"/>
                <w:color w:val="000000"/>
                <w:sz w:val="22"/>
                <w:szCs w:val="22"/>
              </w:rPr>
              <w:t>Heterosexism, homophobia and transphobia</w:t>
            </w:r>
          </w:p>
          <w:p w:rsidR="00690922" w:rsidRDefault="00666B39">
            <w:pPr>
              <w:numPr>
                <w:ilvl w:val="1"/>
                <w:numId w:val="7"/>
              </w:numPr>
              <w:pBdr>
                <w:top w:val="nil"/>
                <w:left w:val="nil"/>
                <w:bottom w:val="nil"/>
                <w:right w:val="nil"/>
                <w:between w:val="nil"/>
              </w:pBdr>
              <w:rPr>
                <w:color w:val="000000"/>
              </w:rPr>
            </w:pPr>
            <w:r>
              <w:rPr>
                <w:rFonts w:ascii="Open Sans" w:eastAsia="Open Sans" w:hAnsi="Open Sans" w:cs="Open Sans"/>
                <w:color w:val="000000"/>
                <w:sz w:val="22"/>
                <w:szCs w:val="22"/>
              </w:rPr>
              <w:t>Bullying and School Violence (RI Initiative)</w:t>
            </w:r>
          </w:p>
          <w:p w:rsidR="00690922" w:rsidRDefault="00666B39">
            <w:p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How Shall We Then Teach? (Integration of theory and practice)</w:t>
            </w:r>
          </w:p>
          <w:p w:rsidR="00690922" w:rsidRDefault="00666B39">
            <w:pPr>
              <w:numPr>
                <w:ilvl w:val="0"/>
                <w:numId w:val="10"/>
              </w:numPr>
              <w:pBdr>
                <w:top w:val="nil"/>
                <w:left w:val="nil"/>
                <w:bottom w:val="nil"/>
                <w:right w:val="nil"/>
                <w:between w:val="nil"/>
              </w:pBdr>
              <w:rPr>
                <w:sz w:val="22"/>
                <w:szCs w:val="22"/>
              </w:rPr>
            </w:pPr>
            <w:r>
              <w:rPr>
                <w:rFonts w:ascii="Open Sans" w:eastAsia="Open Sans" w:hAnsi="Open Sans" w:cs="Open Sans"/>
                <w:sz w:val="22"/>
                <w:szCs w:val="22"/>
              </w:rPr>
              <w:t>Interpretation of theoretical frames in light of current events, clinical observations, and service learning</w:t>
            </w:r>
          </w:p>
          <w:p w:rsidR="00690922" w:rsidRDefault="00666B39">
            <w:pPr>
              <w:numPr>
                <w:ilvl w:val="0"/>
                <w:numId w:val="10"/>
              </w:numPr>
              <w:pBdr>
                <w:top w:val="nil"/>
                <w:left w:val="nil"/>
                <w:bottom w:val="nil"/>
                <w:right w:val="nil"/>
                <w:between w:val="nil"/>
              </w:pBdr>
              <w:rPr>
                <w:color w:val="000000"/>
                <w:sz w:val="22"/>
                <w:szCs w:val="22"/>
              </w:rPr>
            </w:pPr>
            <w:r>
              <w:rPr>
                <w:rFonts w:ascii="Open Sans" w:eastAsia="Open Sans" w:hAnsi="Open Sans" w:cs="Open Sans"/>
                <w:color w:val="000000"/>
                <w:sz w:val="22"/>
                <w:szCs w:val="22"/>
              </w:rPr>
              <w:t>Personal dispositions (extended reflection): What kind of teacher do you want to be?</w:t>
            </w:r>
          </w:p>
        </w:tc>
      </w:tr>
    </w:tbl>
    <w:p w:rsidR="007E3B87" w:rsidRDefault="007E3B87">
      <w:pPr>
        <w:pStyle w:val="Heading2"/>
        <w:jc w:val="left"/>
      </w:pPr>
    </w:p>
    <w:p w:rsidR="007E3B87" w:rsidRDefault="007E3B87" w:rsidP="007E3B87">
      <w:pPr>
        <w:rPr>
          <w:color w:val="632423"/>
        </w:rPr>
      </w:pPr>
      <w:r>
        <w:br w:type="page"/>
      </w:r>
    </w:p>
    <w:p w:rsidR="00690922" w:rsidRDefault="00666B39">
      <w:pPr>
        <w:pStyle w:val="Heading2"/>
        <w:jc w:val="left"/>
      </w:pPr>
      <w:r>
        <w:lastRenderedPageBreak/>
        <w:t>D</w:t>
      </w:r>
      <w:r>
        <w:t>. Signatures</w:t>
      </w:r>
    </w:p>
    <w:p w:rsidR="00690922" w:rsidRDefault="00666B39">
      <w:pPr>
        <w:numPr>
          <w:ilvl w:val="0"/>
          <w:numId w:val="1"/>
        </w:numPr>
        <w:pBdr>
          <w:top w:val="nil"/>
          <w:left w:val="nil"/>
          <w:bottom w:val="nil"/>
          <w:right w:val="nil"/>
          <w:between w:val="nil"/>
        </w:pBdr>
        <w:shd w:val="clear" w:color="auto" w:fill="FDE9D9"/>
      </w:pPr>
      <w:r>
        <w:rPr>
          <w:color w:val="000000"/>
        </w:rPr>
        <w:t>Changes that affect General Education in any way MUST be approved by ALL Deans and COGE Chair.</w:t>
      </w:r>
    </w:p>
    <w:p w:rsidR="00690922" w:rsidRDefault="00666B39">
      <w:pPr>
        <w:numPr>
          <w:ilvl w:val="0"/>
          <w:numId w:val="1"/>
        </w:numPr>
        <w:pBdr>
          <w:top w:val="nil"/>
          <w:left w:val="nil"/>
          <w:bottom w:val="nil"/>
          <w:right w:val="nil"/>
          <w:between w:val="nil"/>
        </w:pBdr>
        <w:shd w:val="clear" w:color="auto" w:fill="FDE9D9"/>
      </w:pPr>
      <w:r>
        <w:rPr>
          <w:color w:val="000000"/>
        </w:rPr>
        <w:t xml:space="preserve">Changes that directly impact more than one department/program MUST have the signatures of all relevant department chairs, program directors, and relevant dean (e.g. when creating/revising a program using courses from other departments/programs). Check UCC </w:t>
      </w:r>
      <w:r>
        <w:rPr>
          <w:color w:val="000000"/>
        </w:rPr>
        <w:t>manual 4.2 for further guidelines on whether the signatures need to be approval or acknowledgement.</w:t>
      </w:r>
    </w:p>
    <w:p w:rsidR="00690922" w:rsidRDefault="00666B39">
      <w:pPr>
        <w:numPr>
          <w:ilvl w:val="0"/>
          <w:numId w:val="1"/>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690922" w:rsidRDefault="00666B39">
      <w:pPr>
        <w:numPr>
          <w:ilvl w:val="0"/>
          <w:numId w:val="1"/>
        </w:numPr>
        <w:pBdr>
          <w:top w:val="nil"/>
          <w:left w:val="nil"/>
          <w:bottom w:val="nil"/>
          <w:right w:val="nil"/>
          <w:between w:val="nil"/>
        </w:pBdr>
        <w:shd w:val="clear" w:color="auto" w:fill="FDE9D9"/>
      </w:pPr>
      <w:r>
        <w:rPr>
          <w:color w:val="000000"/>
        </w:rPr>
        <w:t>Type in name of person signing and their position/affiliation.</w:t>
      </w:r>
    </w:p>
    <w:p w:rsidR="00690922" w:rsidRDefault="00666B39">
      <w:pPr>
        <w:numPr>
          <w:ilvl w:val="0"/>
          <w:numId w:val="1"/>
        </w:numPr>
        <w:pBdr>
          <w:top w:val="nil"/>
          <w:left w:val="nil"/>
          <w:bottom w:val="nil"/>
          <w:right w:val="nil"/>
          <w:between w:val="nil"/>
        </w:pBdr>
        <w:shd w:val="clear" w:color="auto" w:fill="FDE9D9"/>
      </w:pPr>
      <w:r>
        <w:rPr>
          <w:color w:val="000000"/>
        </w:rPr>
        <w:t>Send elec</w:t>
      </w:r>
      <w:r>
        <w:rPr>
          <w:color w:val="000000"/>
        </w:rPr>
        <w:t xml:space="preserve">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rsidR="00690922" w:rsidRDefault="00690922">
      <w:pPr>
        <w:pStyle w:val="Heading5"/>
      </w:pPr>
    </w:p>
    <w:p w:rsidR="00690922" w:rsidRDefault="00666B39">
      <w:pPr>
        <w:pStyle w:val="Heading5"/>
      </w:pPr>
      <w:r>
        <w:t xml:space="preserve">D.1. Approvals:   required from programs/departments/deans who originate the proposal.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56"/>
        <w:gridCol w:w="3268"/>
        <w:gridCol w:w="3193"/>
        <w:gridCol w:w="1163"/>
      </w:tblGrid>
      <w:tr w:rsidR="00690922">
        <w:tc>
          <w:tcPr>
            <w:tcW w:w="3156" w:type="dxa"/>
            <w:vAlign w:val="center"/>
          </w:tcPr>
          <w:p w:rsidR="00690922" w:rsidRDefault="00666B39">
            <w:pPr>
              <w:pStyle w:val="Heading5"/>
              <w:jc w:val="center"/>
            </w:pPr>
            <w:r>
              <w:t>Name</w:t>
            </w:r>
          </w:p>
        </w:tc>
        <w:tc>
          <w:tcPr>
            <w:tcW w:w="3268" w:type="dxa"/>
            <w:vAlign w:val="center"/>
          </w:tcPr>
          <w:p w:rsidR="00690922" w:rsidRDefault="00666B39">
            <w:pPr>
              <w:pStyle w:val="Heading5"/>
              <w:jc w:val="center"/>
            </w:pPr>
            <w:r>
              <w:t>Position/affiliation</w:t>
            </w:r>
          </w:p>
        </w:tc>
        <w:tc>
          <w:tcPr>
            <w:tcW w:w="3193" w:type="dxa"/>
            <w:vAlign w:val="center"/>
          </w:tcPr>
          <w:p w:rsidR="00690922" w:rsidRDefault="00666B39">
            <w:pPr>
              <w:pStyle w:val="Heading5"/>
              <w:jc w:val="center"/>
            </w:pPr>
            <w:hyperlink w:anchor="_3tbugp1">
              <w:r>
                <w:rPr>
                  <w:color w:val="0000FF"/>
                  <w:u w:val="single"/>
                </w:rPr>
                <w:t>Signature</w:t>
              </w:r>
            </w:hyperlink>
          </w:p>
        </w:tc>
        <w:tc>
          <w:tcPr>
            <w:tcW w:w="1163" w:type="dxa"/>
            <w:vAlign w:val="center"/>
          </w:tcPr>
          <w:p w:rsidR="00690922" w:rsidRDefault="00666B39">
            <w:pPr>
              <w:pStyle w:val="Heading5"/>
              <w:jc w:val="center"/>
            </w:pPr>
            <w:r>
              <w:t>Date</w:t>
            </w:r>
          </w:p>
        </w:tc>
      </w:tr>
      <w:tr w:rsidR="00690922">
        <w:trPr>
          <w:trHeight w:val="480"/>
        </w:trPr>
        <w:tc>
          <w:tcPr>
            <w:tcW w:w="3156" w:type="dxa"/>
            <w:vAlign w:val="center"/>
          </w:tcPr>
          <w:p w:rsidR="00690922" w:rsidRDefault="00666B39">
            <w:r>
              <w:t>Carol Cummings</w:t>
            </w:r>
          </w:p>
        </w:tc>
        <w:tc>
          <w:tcPr>
            <w:tcW w:w="3268" w:type="dxa"/>
            <w:vAlign w:val="center"/>
          </w:tcPr>
          <w:p w:rsidR="00690922" w:rsidRDefault="00666B39">
            <w:r>
              <w:t>Chair of Health and P.E.</w:t>
            </w:r>
          </w:p>
        </w:tc>
        <w:tc>
          <w:tcPr>
            <w:tcW w:w="3193" w:type="dxa"/>
            <w:vAlign w:val="center"/>
          </w:tcPr>
          <w:p w:rsidR="00690922" w:rsidRDefault="00690922"/>
        </w:tc>
        <w:tc>
          <w:tcPr>
            <w:tcW w:w="1163" w:type="dxa"/>
            <w:vAlign w:val="center"/>
          </w:tcPr>
          <w:p w:rsidR="00690922" w:rsidRDefault="00690922"/>
        </w:tc>
      </w:tr>
      <w:tr w:rsidR="00690922">
        <w:trPr>
          <w:trHeight w:val="480"/>
        </w:trPr>
        <w:tc>
          <w:tcPr>
            <w:tcW w:w="3156" w:type="dxa"/>
            <w:vAlign w:val="center"/>
          </w:tcPr>
          <w:p w:rsidR="00690922" w:rsidRDefault="00666B39">
            <w:r>
              <w:t>Lesley Bogad</w:t>
            </w:r>
          </w:p>
        </w:tc>
        <w:tc>
          <w:tcPr>
            <w:tcW w:w="3268" w:type="dxa"/>
            <w:vAlign w:val="center"/>
          </w:tcPr>
          <w:p w:rsidR="00690922" w:rsidRDefault="00666B39">
            <w:r>
              <w:t>Chair of Educational Studies</w:t>
            </w:r>
          </w:p>
        </w:tc>
        <w:tc>
          <w:tcPr>
            <w:tcW w:w="3193" w:type="dxa"/>
            <w:vAlign w:val="center"/>
          </w:tcPr>
          <w:p w:rsidR="00690922" w:rsidRDefault="00690922"/>
        </w:tc>
        <w:tc>
          <w:tcPr>
            <w:tcW w:w="1163" w:type="dxa"/>
            <w:vAlign w:val="center"/>
          </w:tcPr>
          <w:p w:rsidR="00690922" w:rsidRDefault="00690922"/>
        </w:tc>
      </w:tr>
      <w:tr w:rsidR="00690922">
        <w:trPr>
          <w:trHeight w:val="480"/>
        </w:trPr>
        <w:tc>
          <w:tcPr>
            <w:tcW w:w="3156" w:type="dxa"/>
            <w:vAlign w:val="center"/>
          </w:tcPr>
          <w:p w:rsidR="00690922" w:rsidRDefault="00666B39">
            <w:r>
              <w:t>Ying Hui-Michael</w:t>
            </w:r>
          </w:p>
        </w:tc>
        <w:tc>
          <w:tcPr>
            <w:tcW w:w="3268" w:type="dxa"/>
            <w:vAlign w:val="center"/>
          </w:tcPr>
          <w:p w:rsidR="00690922" w:rsidRDefault="00666B39">
            <w:r>
              <w:t xml:space="preserve">Chair of Special Education </w:t>
            </w:r>
          </w:p>
        </w:tc>
        <w:tc>
          <w:tcPr>
            <w:tcW w:w="3193" w:type="dxa"/>
            <w:vAlign w:val="center"/>
          </w:tcPr>
          <w:p w:rsidR="00690922" w:rsidRDefault="00690922"/>
        </w:tc>
        <w:tc>
          <w:tcPr>
            <w:tcW w:w="1163" w:type="dxa"/>
            <w:vAlign w:val="center"/>
          </w:tcPr>
          <w:p w:rsidR="00690922" w:rsidRDefault="00690922"/>
        </w:tc>
      </w:tr>
      <w:tr w:rsidR="00690922">
        <w:trPr>
          <w:trHeight w:val="480"/>
        </w:trPr>
        <w:tc>
          <w:tcPr>
            <w:tcW w:w="3156" w:type="dxa"/>
            <w:vAlign w:val="center"/>
          </w:tcPr>
          <w:p w:rsidR="00690922" w:rsidRDefault="00666B39">
            <w:r>
              <w:t>Carolyn Obel-Omia</w:t>
            </w:r>
          </w:p>
        </w:tc>
        <w:tc>
          <w:tcPr>
            <w:tcW w:w="3268" w:type="dxa"/>
            <w:vAlign w:val="center"/>
          </w:tcPr>
          <w:p w:rsidR="00690922" w:rsidRDefault="00666B39">
            <w:r>
              <w:t>Chair of Elementary Education</w:t>
            </w:r>
          </w:p>
        </w:tc>
        <w:tc>
          <w:tcPr>
            <w:tcW w:w="3193" w:type="dxa"/>
            <w:vAlign w:val="center"/>
          </w:tcPr>
          <w:p w:rsidR="00690922" w:rsidRDefault="00690922"/>
        </w:tc>
        <w:tc>
          <w:tcPr>
            <w:tcW w:w="1163" w:type="dxa"/>
            <w:vAlign w:val="center"/>
          </w:tcPr>
          <w:p w:rsidR="00690922" w:rsidRDefault="00690922"/>
        </w:tc>
      </w:tr>
      <w:tr w:rsidR="00690922">
        <w:trPr>
          <w:trHeight w:val="480"/>
        </w:trPr>
        <w:tc>
          <w:tcPr>
            <w:tcW w:w="3156" w:type="dxa"/>
            <w:vAlign w:val="center"/>
          </w:tcPr>
          <w:p w:rsidR="00690922" w:rsidRDefault="00666B39">
            <w:r>
              <w:t>Jeannine Dingus-Eason</w:t>
            </w:r>
          </w:p>
        </w:tc>
        <w:tc>
          <w:tcPr>
            <w:tcW w:w="3268" w:type="dxa"/>
            <w:vAlign w:val="center"/>
          </w:tcPr>
          <w:p w:rsidR="00690922" w:rsidRDefault="00666B39">
            <w:r>
              <w:t>Dean of FSEHD</w:t>
            </w:r>
          </w:p>
        </w:tc>
        <w:tc>
          <w:tcPr>
            <w:tcW w:w="3193" w:type="dxa"/>
            <w:vAlign w:val="center"/>
          </w:tcPr>
          <w:p w:rsidR="00690922" w:rsidRDefault="00690922"/>
        </w:tc>
        <w:tc>
          <w:tcPr>
            <w:tcW w:w="1163" w:type="dxa"/>
            <w:vAlign w:val="center"/>
          </w:tcPr>
          <w:p w:rsidR="00690922" w:rsidRDefault="00690922"/>
        </w:tc>
      </w:tr>
    </w:tbl>
    <w:p w:rsidR="00690922" w:rsidRDefault="00690922">
      <w:pPr>
        <w:pStyle w:val="Heading5"/>
      </w:pPr>
    </w:p>
    <w:p w:rsidR="00690922" w:rsidRDefault="00666B39">
      <w:pPr>
        <w:pStyle w:val="Heading5"/>
        <w:rPr>
          <w:color w:val="0000FF"/>
          <w:u w:val="single"/>
        </w:rPr>
      </w:pPr>
      <w:r>
        <w:t xml:space="preserve">D.2. </w:t>
      </w:r>
      <w:hyperlink w:anchor="3o7alnk">
        <w:r>
          <w:rPr>
            <w:color w:val="0000FF"/>
            <w:u w:val="single"/>
          </w:rPr>
          <w:t>Acknowledgements</w:t>
        </w:r>
      </w:hyperlink>
      <w:bookmarkStart w:id="32" w:name="3o7alnk" w:colFirst="0" w:colLast="0"/>
      <w:bookmarkEnd w:id="32"/>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55"/>
        <w:gridCol w:w="3268"/>
        <w:gridCol w:w="3194"/>
        <w:gridCol w:w="1163"/>
      </w:tblGrid>
      <w:tr w:rsidR="00690922">
        <w:tc>
          <w:tcPr>
            <w:tcW w:w="3155" w:type="dxa"/>
            <w:vAlign w:val="center"/>
          </w:tcPr>
          <w:p w:rsidR="00690922" w:rsidRDefault="00666B39">
            <w:pPr>
              <w:pStyle w:val="Heading5"/>
              <w:jc w:val="center"/>
            </w:pPr>
            <w:r>
              <w:t>Name</w:t>
            </w:r>
          </w:p>
        </w:tc>
        <w:tc>
          <w:tcPr>
            <w:tcW w:w="3268" w:type="dxa"/>
            <w:vAlign w:val="center"/>
          </w:tcPr>
          <w:p w:rsidR="00690922" w:rsidRDefault="00666B39">
            <w:pPr>
              <w:pStyle w:val="Heading5"/>
              <w:jc w:val="center"/>
            </w:pPr>
            <w:r>
              <w:t>Pos</w:t>
            </w:r>
            <w:r>
              <w:t>ition/affiliation</w:t>
            </w:r>
          </w:p>
        </w:tc>
        <w:tc>
          <w:tcPr>
            <w:tcW w:w="3194" w:type="dxa"/>
            <w:vAlign w:val="center"/>
          </w:tcPr>
          <w:p w:rsidR="00690922" w:rsidRDefault="00666B39">
            <w:pPr>
              <w:pStyle w:val="Heading5"/>
              <w:jc w:val="center"/>
              <w:rPr>
                <w:color w:val="0000FF"/>
                <w:u w:val="single"/>
              </w:rPr>
            </w:pPr>
            <w:hyperlink w:anchor="23ckvvd">
              <w:r>
                <w:rPr>
                  <w:color w:val="0000FF"/>
                  <w:u w:val="single"/>
                </w:rPr>
                <w:t>Signature</w:t>
              </w:r>
            </w:hyperlink>
            <w:bookmarkStart w:id="33" w:name="23ckvvd" w:colFirst="0" w:colLast="0"/>
            <w:bookmarkEnd w:id="33"/>
          </w:p>
        </w:tc>
        <w:tc>
          <w:tcPr>
            <w:tcW w:w="1163" w:type="dxa"/>
            <w:vAlign w:val="center"/>
          </w:tcPr>
          <w:p w:rsidR="00690922" w:rsidRDefault="00666B39">
            <w:pPr>
              <w:pStyle w:val="Heading5"/>
              <w:jc w:val="center"/>
            </w:pPr>
            <w:r>
              <w:t>Date</w:t>
            </w:r>
          </w:p>
        </w:tc>
      </w:tr>
      <w:tr w:rsidR="00690922">
        <w:trPr>
          <w:trHeight w:val="480"/>
        </w:trPr>
        <w:tc>
          <w:tcPr>
            <w:tcW w:w="3155" w:type="dxa"/>
            <w:vAlign w:val="center"/>
          </w:tcPr>
          <w:p w:rsidR="00690922" w:rsidRDefault="00690922"/>
        </w:tc>
        <w:tc>
          <w:tcPr>
            <w:tcW w:w="3268" w:type="dxa"/>
            <w:vAlign w:val="center"/>
          </w:tcPr>
          <w:p w:rsidR="00690922" w:rsidRDefault="00690922"/>
        </w:tc>
        <w:tc>
          <w:tcPr>
            <w:tcW w:w="3194" w:type="dxa"/>
            <w:vAlign w:val="center"/>
          </w:tcPr>
          <w:p w:rsidR="00690922" w:rsidRDefault="00690922"/>
        </w:tc>
        <w:tc>
          <w:tcPr>
            <w:tcW w:w="1163" w:type="dxa"/>
            <w:vAlign w:val="center"/>
          </w:tcPr>
          <w:p w:rsidR="00690922" w:rsidRDefault="00690922"/>
        </w:tc>
      </w:tr>
      <w:tr w:rsidR="00690922">
        <w:trPr>
          <w:trHeight w:val="480"/>
        </w:trPr>
        <w:tc>
          <w:tcPr>
            <w:tcW w:w="3155" w:type="dxa"/>
            <w:vAlign w:val="center"/>
          </w:tcPr>
          <w:p w:rsidR="00690922" w:rsidRDefault="00690922"/>
        </w:tc>
        <w:tc>
          <w:tcPr>
            <w:tcW w:w="3268" w:type="dxa"/>
            <w:vAlign w:val="center"/>
          </w:tcPr>
          <w:p w:rsidR="00690922" w:rsidRDefault="00690922"/>
        </w:tc>
        <w:tc>
          <w:tcPr>
            <w:tcW w:w="3194" w:type="dxa"/>
            <w:vAlign w:val="center"/>
          </w:tcPr>
          <w:p w:rsidR="00690922" w:rsidRDefault="00690922"/>
        </w:tc>
        <w:tc>
          <w:tcPr>
            <w:tcW w:w="1163" w:type="dxa"/>
            <w:vAlign w:val="center"/>
          </w:tcPr>
          <w:p w:rsidR="00690922" w:rsidRDefault="00690922"/>
        </w:tc>
      </w:tr>
      <w:tr w:rsidR="00690922">
        <w:trPr>
          <w:trHeight w:val="480"/>
        </w:trPr>
        <w:tc>
          <w:tcPr>
            <w:tcW w:w="3155" w:type="dxa"/>
            <w:vAlign w:val="center"/>
          </w:tcPr>
          <w:p w:rsidR="00690922" w:rsidRDefault="00690922"/>
        </w:tc>
        <w:tc>
          <w:tcPr>
            <w:tcW w:w="3268" w:type="dxa"/>
            <w:vAlign w:val="center"/>
          </w:tcPr>
          <w:p w:rsidR="00690922" w:rsidRDefault="00690922"/>
        </w:tc>
        <w:tc>
          <w:tcPr>
            <w:tcW w:w="3194" w:type="dxa"/>
            <w:vAlign w:val="center"/>
          </w:tcPr>
          <w:p w:rsidR="00690922" w:rsidRDefault="00690922"/>
        </w:tc>
        <w:tc>
          <w:tcPr>
            <w:tcW w:w="1163" w:type="dxa"/>
            <w:vAlign w:val="center"/>
          </w:tcPr>
          <w:p w:rsidR="00690922" w:rsidRDefault="00666B39">
            <w:r>
              <w:t>Tab to add rows</w:t>
            </w:r>
          </w:p>
        </w:tc>
      </w:tr>
    </w:tbl>
    <w:p w:rsidR="00690922" w:rsidRDefault="00690922"/>
    <w:sectPr w:rsidR="0069092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B39" w:rsidRDefault="00666B39">
      <w:r>
        <w:separator/>
      </w:r>
    </w:p>
  </w:endnote>
  <w:endnote w:type="continuationSeparator" w:id="0">
    <w:p w:rsidR="00666B39" w:rsidRDefault="0066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22" w:rsidRDefault="0069092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22" w:rsidRDefault="00666B39">
    <w:pPr>
      <w:pBdr>
        <w:top w:val="single" w:sz="8" w:space="1" w:color="984806"/>
        <w:left w:val="nil"/>
        <w:bottom w:val="nil"/>
        <w:right w:val="nil"/>
        <w:between w:val="nil"/>
      </w:pBdr>
      <w:tabs>
        <w:tab w:val="center" w:pos="4680"/>
        <w:tab w:val="right" w:pos="9360"/>
      </w:tabs>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sidR="007E3B87">
      <w:rPr>
        <w:b/>
        <w:color w:val="000000"/>
        <w:sz w:val="20"/>
        <w:szCs w:val="20"/>
      </w:rPr>
      <w:fldChar w:fldCharType="separate"/>
    </w:r>
    <w:r w:rsidR="007E3B87">
      <w:rPr>
        <w:b/>
        <w:noProof/>
        <w:color w:val="000000"/>
        <w:sz w:val="20"/>
        <w:szCs w:val="20"/>
      </w:rPr>
      <w:t>3</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7E3B87">
      <w:rPr>
        <w:b/>
        <w:color w:val="000000"/>
        <w:sz w:val="20"/>
        <w:szCs w:val="20"/>
      </w:rPr>
      <w:fldChar w:fldCharType="separate"/>
    </w:r>
    <w:r w:rsidR="007E3B87">
      <w:rPr>
        <w:b/>
        <w:noProof/>
        <w:color w:val="000000"/>
        <w:sz w:val="20"/>
        <w:szCs w:val="20"/>
      </w:rPr>
      <w:t>6</w:t>
    </w:r>
    <w:r>
      <w:rPr>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22" w:rsidRDefault="0069092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B39" w:rsidRDefault="00666B39">
      <w:r>
        <w:separator/>
      </w:r>
    </w:p>
  </w:footnote>
  <w:footnote w:type="continuationSeparator" w:id="0">
    <w:p w:rsidR="00666B39" w:rsidRDefault="00666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22" w:rsidRDefault="0069092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22" w:rsidRDefault="00666B39">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r>
      <w:rPr>
        <w:color w:val="4F6228"/>
      </w:rPr>
      <w:t xml:space="preserve">For GCC use only.  Document ID #:   </w:t>
    </w:r>
    <w:r w:rsidR="007E3B87">
      <w:rPr>
        <w:color w:val="4F6228"/>
      </w:rPr>
      <w:t xml:space="preserve">1920_65 FNED 546 revision               </w:t>
    </w:r>
    <w:r>
      <w:rPr>
        <w:color w:val="4F6228"/>
      </w:rPr>
      <w:t xml:space="preserve"> </w:t>
    </w:r>
    <w:r>
      <w:rPr>
        <w:color w:val="4F6228"/>
      </w:rPr>
      <w:tab/>
      <w:t xml:space="preserve">Date Received: </w:t>
    </w:r>
    <w:r w:rsidR="007E3B87">
      <w:rPr>
        <w:color w:val="4F6228"/>
      </w:rPr>
      <w:t>3/13/2020</w:t>
    </w:r>
    <w:r>
      <w:rPr>
        <w:color w:val="4F6228"/>
      </w:rPr>
      <w:tab/>
    </w:r>
    <w:r>
      <w:rPr>
        <w:color w:val="4F6228"/>
      </w:rPr>
      <w:tab/>
    </w:r>
  </w:p>
  <w:p w:rsidR="00690922" w:rsidRDefault="0069092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22" w:rsidRDefault="0069092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1570"/>
    <w:multiLevelType w:val="multilevel"/>
    <w:tmpl w:val="4C3AC7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7A415F0"/>
    <w:multiLevelType w:val="multilevel"/>
    <w:tmpl w:val="819E18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984135F"/>
    <w:multiLevelType w:val="multilevel"/>
    <w:tmpl w:val="CD5274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3737096"/>
    <w:multiLevelType w:val="multilevel"/>
    <w:tmpl w:val="E28497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EB15EB8"/>
    <w:multiLevelType w:val="multilevel"/>
    <w:tmpl w:val="0FA22160"/>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3B96238"/>
    <w:multiLevelType w:val="multilevel"/>
    <w:tmpl w:val="88A20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325A4B"/>
    <w:multiLevelType w:val="multilevel"/>
    <w:tmpl w:val="90CA0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750514C"/>
    <w:multiLevelType w:val="multilevel"/>
    <w:tmpl w:val="366AF67E"/>
    <w:lvl w:ilvl="0">
      <w:start w:val="1"/>
      <w:numFmt w:val="bullet"/>
      <w:lvlText w:val="o"/>
      <w:lvlJc w:val="left"/>
      <w:pPr>
        <w:ind w:left="1512" w:hanging="360"/>
      </w:pPr>
      <w:rPr>
        <w:rFonts w:ascii="Courier New" w:eastAsia="Courier New" w:hAnsi="Courier New" w:cs="Courier New"/>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8" w15:restartNumberingAfterBreak="0">
    <w:nsid w:val="6A9E0BC6"/>
    <w:multiLevelType w:val="multilevel"/>
    <w:tmpl w:val="D632D2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3107CD9"/>
    <w:multiLevelType w:val="multilevel"/>
    <w:tmpl w:val="D2E089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8B875A1"/>
    <w:multiLevelType w:val="multilevel"/>
    <w:tmpl w:val="CF440DC2"/>
    <w:lvl w:ilvl="0">
      <w:start w:val="1"/>
      <w:numFmt w:val="decimal"/>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num w:numId="1">
    <w:abstractNumId w:val="5"/>
  </w:num>
  <w:num w:numId="2">
    <w:abstractNumId w:val="2"/>
  </w:num>
  <w:num w:numId="3">
    <w:abstractNumId w:val="6"/>
  </w:num>
  <w:num w:numId="4">
    <w:abstractNumId w:val="9"/>
  </w:num>
  <w:num w:numId="5">
    <w:abstractNumId w:val="0"/>
  </w:num>
  <w:num w:numId="6">
    <w:abstractNumId w:val="1"/>
  </w:num>
  <w:num w:numId="7">
    <w:abstractNumId w:val="3"/>
  </w:num>
  <w:num w:numId="8">
    <w:abstractNumId w:val="8"/>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22"/>
    <w:rsid w:val="00666B39"/>
    <w:rsid w:val="00690922"/>
    <w:rsid w:val="007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3D024-6F6C-4CD2-9F08-6A71AC12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jc w:val="center"/>
    </w:pPr>
    <w:rPr>
      <w:smallCaps/>
      <w:color w:val="632423"/>
      <w:sz w:val="44"/>
      <w:szCs w:val="44"/>
    </w:rPr>
  </w:style>
  <w:style w:type="paragraph" w:styleId="Subtitle">
    <w:name w:val="Subtitle"/>
    <w:basedOn w:val="Normal"/>
    <w:next w:val="Normal"/>
    <w:pPr>
      <w:spacing w:after="560"/>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67Z3ZXSPZZWZ-954-247</_dlc_DocId>
    <_dlc_DocIdUrl xmlns="67887a43-7e4d-4c1c-91d7-15e417b1b8ab">
      <Url>https://w3.ric.edu/graduate_committee/_layouts/15/DocIdRedir.aspx?ID=67Z3ZXSPZZWZ-954-247</Url>
      <Description>67Z3ZXSPZZWZ-954-247</Description>
    </_dlc_DocIdUrl>
  </documentManagement>
</p:properties>
</file>

<file path=customXml/itemProps1.xml><?xml version="1.0" encoding="utf-8"?>
<ds:datastoreItem xmlns:ds="http://schemas.openxmlformats.org/officeDocument/2006/customXml" ds:itemID="{46357EEB-7AF6-4F2D-9748-4B9E936DD99F}"/>
</file>

<file path=customXml/itemProps2.xml><?xml version="1.0" encoding="utf-8"?>
<ds:datastoreItem xmlns:ds="http://schemas.openxmlformats.org/officeDocument/2006/customXml" ds:itemID="{CD9A0915-E12C-4399-AE53-E322F87330C9}"/>
</file>

<file path=customXml/itemProps3.xml><?xml version="1.0" encoding="utf-8"?>
<ds:datastoreItem xmlns:ds="http://schemas.openxmlformats.org/officeDocument/2006/customXml" ds:itemID="{FDC15033-E112-4D8E-9B57-C597585CA321}"/>
</file>

<file path=customXml/itemProps4.xml><?xml version="1.0" encoding="utf-8"?>
<ds:datastoreItem xmlns:ds="http://schemas.openxmlformats.org/officeDocument/2006/customXml" ds:itemID="{18089E77-80CC-43DE-832D-3291DC76EC86}"/>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Darcy, Monica G.</cp:lastModifiedBy>
  <cp:revision>2</cp:revision>
  <dcterms:created xsi:type="dcterms:W3CDTF">2020-03-17T14:17:00Z</dcterms:created>
  <dcterms:modified xsi:type="dcterms:W3CDTF">2020-03-17T14:17:00Z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362a12a3-48f4-48ab-8def-9148b07c3335</vt:lpwstr>
  </property>
</Properties>
</file>