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Pr="00D077E5" w:rsidRDefault="00F64260" w:rsidP="00DF4FCD">
      <w:pPr>
        <w:pStyle w:val="Heading2"/>
        <w:numPr>
          <w:ilvl w:val="0"/>
          <w:numId w:val="6"/>
        </w:numPr>
        <w:jc w:val="left"/>
      </w:pPr>
      <w:r>
        <w:t>Cover page</w:t>
      </w:r>
      <w:r>
        <w:tab/>
      </w:r>
      <w:r>
        <w:tab/>
      </w:r>
      <w:r>
        <w:tab/>
      </w:r>
      <w:r>
        <w:tab/>
      </w:r>
      <w:r>
        <w:tab/>
      </w:r>
      <w:r>
        <w:tab/>
      </w:r>
      <w:r w:rsidRPr="00D077E5">
        <w:rPr>
          <w:color w:val="auto"/>
          <w:spacing w:val="20"/>
          <w:sz w:val="18"/>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D077E5">
          <w:rPr>
            <w:rStyle w:val="Hyperlink"/>
            <w:spacing w:val="20"/>
            <w:sz w:val="18"/>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1761"/>
        <w:gridCol w:w="740"/>
        <w:gridCol w:w="3555"/>
        <w:gridCol w:w="1078"/>
        <w:gridCol w:w="968"/>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75DE812D" w:rsidR="00F64260" w:rsidRPr="00A83A6C" w:rsidRDefault="009223F5" w:rsidP="00B862BF">
            <w:pPr>
              <w:pStyle w:val="Heading5"/>
              <w:rPr>
                <w:b/>
              </w:rPr>
            </w:pPr>
            <w:bookmarkStart w:id="0" w:name="Proposal"/>
            <w:bookmarkEnd w:id="0"/>
            <w:r>
              <w:rPr>
                <w:b/>
              </w:rPr>
              <w:t>New Course</w:t>
            </w:r>
            <w:r w:rsidR="00FA05E2">
              <w:rPr>
                <w:b/>
              </w:rPr>
              <w:br/>
              <w:t xml:space="preserve">DIS </w:t>
            </w:r>
            <w:r w:rsidR="00D44ACA">
              <w:rPr>
                <w:b/>
              </w:rPr>
              <w:t>451</w:t>
            </w:r>
            <w:r w:rsidR="00FA05E2">
              <w:rPr>
                <w:b/>
              </w:rPr>
              <w:t xml:space="preserve">: </w:t>
            </w:r>
            <w:r w:rsidRPr="00BE55B7">
              <w:rPr>
                <w:b/>
                <w:sz w:val="20"/>
              </w:rPr>
              <w:t>Introduction to Transition</w:t>
            </w:r>
            <w:r>
              <w:rPr>
                <w:b/>
                <w:sz w:val="20"/>
              </w:rPr>
              <w:t xml:space="preserve"> to Adult Life</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263A323B" w:rsidR="00F64260" w:rsidRPr="005F2A05" w:rsidRDefault="00D077E5" w:rsidP="00D329BA">
            <w:pPr>
              <w:rPr>
                <w:b/>
              </w:rPr>
            </w:pPr>
            <w:r>
              <w:rPr>
                <w:b/>
              </w:rPr>
              <w:t xml:space="preserve">Course creation </w:t>
            </w:r>
            <w:r w:rsidR="00D329BA"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rsidTr="00FA05E2">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7A926BC" w:rsidR="00F64260" w:rsidRPr="00B605CE" w:rsidRDefault="003D1F8C" w:rsidP="00B862BF">
            <w:pPr>
              <w:rPr>
                <w:b/>
              </w:rPr>
            </w:pPr>
            <w:bookmarkStart w:id="3" w:name="Originator"/>
            <w:bookmarkEnd w:id="3"/>
            <w:r>
              <w:rPr>
                <w:b/>
              </w:rPr>
              <w:t xml:space="preserve">Paul </w:t>
            </w:r>
            <w:proofErr w:type="spellStart"/>
            <w:r>
              <w:rPr>
                <w:b/>
              </w:rPr>
              <w:t>LaCava</w:t>
            </w:r>
            <w:proofErr w:type="spellEnd"/>
            <w:r>
              <w:rPr>
                <w:b/>
              </w:rPr>
              <w:t>/Sue Dell</w:t>
            </w:r>
          </w:p>
        </w:tc>
        <w:tc>
          <w:tcPr>
            <w:tcW w:w="2149" w:type="pct"/>
            <w:gridSpan w:val="2"/>
          </w:tcPr>
          <w:p w14:paraId="561C556F" w14:textId="48C59191" w:rsidR="00F64260" w:rsidRPr="007E78BB" w:rsidRDefault="00652ADB" w:rsidP="00C62AE6">
            <w:hyperlink w:anchor="home_dept" w:tooltip="Which department, program, academic unit, office, and/or school is primarily responsible for the curriculum change?" w:history="1">
              <w:r w:rsidR="00F64260" w:rsidRPr="00946B20">
                <w:rPr>
                  <w:rStyle w:val="Hyperlink"/>
                </w:rPr>
                <w:t>Home department</w:t>
              </w:r>
            </w:hyperlink>
            <w:r w:rsidR="007E78BB">
              <w:rPr>
                <w:rStyle w:val="Hyperlink"/>
              </w:rPr>
              <w:t xml:space="preserve"> </w:t>
            </w:r>
            <w:r w:rsidR="007E78BB" w:rsidRPr="009223F5">
              <w:rPr>
                <w:rStyle w:val="Hyperlink"/>
                <w:u w:val="none"/>
              </w:rPr>
              <w:t xml:space="preserve"> </w:t>
            </w:r>
            <w:r w:rsidR="00C62AE6" w:rsidRPr="009223F5">
              <w:rPr>
                <w:rStyle w:val="Hyperlink"/>
                <w:color w:val="auto"/>
                <w:u w:val="none"/>
              </w:rPr>
              <w:t>Special Ed</w:t>
            </w:r>
            <w:r w:rsidR="009223F5" w:rsidRPr="009223F5">
              <w:rPr>
                <w:rStyle w:val="Hyperlink"/>
                <w:color w:val="auto"/>
                <w:u w:val="none"/>
              </w:rPr>
              <w:t>ucation</w:t>
            </w:r>
          </w:p>
        </w:tc>
        <w:tc>
          <w:tcPr>
            <w:tcW w:w="580" w:type="pct"/>
            <w:gridSpan w:val="2"/>
          </w:tcPr>
          <w:p w14:paraId="1806736B" w14:textId="77777777" w:rsidR="00F64260" w:rsidRPr="00B605CE" w:rsidRDefault="00F64260" w:rsidP="00B862BF">
            <w:pPr>
              <w:rPr>
                <w:b/>
              </w:rPr>
            </w:pPr>
            <w:bookmarkStart w:id="4" w:name="home_dept"/>
            <w:bookmarkEnd w:id="4"/>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Pr="00272104" w:rsidRDefault="00F64260" w:rsidP="00FA6998">
            <w:pPr>
              <w:rPr>
                <w:bCs/>
              </w:rPr>
            </w:pPr>
            <w:bookmarkStart w:id="5" w:name="Rationale"/>
            <w:bookmarkEnd w:id="5"/>
          </w:p>
          <w:p w14:paraId="2D656604" w14:textId="6C6D04D5" w:rsidR="00F64260" w:rsidRPr="00272104" w:rsidRDefault="009223F5">
            <w:pPr>
              <w:spacing w:line="240" w:lineRule="auto"/>
              <w:rPr>
                <w:bCs/>
              </w:rPr>
            </w:pPr>
            <w:r w:rsidRPr="00272104">
              <w:rPr>
                <w:bCs/>
              </w:rPr>
              <w:t xml:space="preserve">DIS </w:t>
            </w:r>
            <w:r w:rsidR="00D44ACA">
              <w:rPr>
                <w:bCs/>
              </w:rPr>
              <w:t>451</w:t>
            </w:r>
            <w:r w:rsidRPr="00272104">
              <w:rPr>
                <w:bCs/>
              </w:rPr>
              <w:t xml:space="preserve"> provides</w:t>
            </w:r>
            <w:r w:rsidR="00D329BA" w:rsidRPr="00272104">
              <w:rPr>
                <w:bCs/>
              </w:rPr>
              <w:t xml:space="preserve"> an o</w:t>
            </w:r>
            <w:r w:rsidR="006A4269" w:rsidRPr="00272104">
              <w:rPr>
                <w:bCs/>
              </w:rPr>
              <w:t xml:space="preserve">verview of the laws, principles, roles, responsibilities </w:t>
            </w:r>
            <w:r w:rsidR="00D329BA" w:rsidRPr="00272104">
              <w:rPr>
                <w:bCs/>
              </w:rPr>
              <w:t xml:space="preserve">and practices, current and historical, which impact the transition of youth with </w:t>
            </w:r>
            <w:r w:rsidR="00A91F56" w:rsidRPr="00272104">
              <w:rPr>
                <w:bCs/>
              </w:rPr>
              <w:t>exceptionalities</w:t>
            </w:r>
            <w:r w:rsidR="00D329BA" w:rsidRPr="00272104">
              <w:rPr>
                <w:bCs/>
              </w:rPr>
              <w:t xml:space="preserve">.  </w:t>
            </w:r>
          </w:p>
          <w:p w14:paraId="45FCA72F" w14:textId="77777777" w:rsidR="00D329BA" w:rsidRPr="00272104" w:rsidRDefault="00D329BA">
            <w:pPr>
              <w:spacing w:line="240" w:lineRule="auto"/>
              <w:rPr>
                <w:bCs/>
              </w:rPr>
            </w:pPr>
          </w:p>
          <w:p w14:paraId="34ECEEB8" w14:textId="4B51E701" w:rsidR="00CE6885" w:rsidRPr="00272104" w:rsidRDefault="00A059D9">
            <w:pPr>
              <w:spacing w:line="240" w:lineRule="auto"/>
              <w:rPr>
                <w:bCs/>
              </w:rPr>
            </w:pPr>
            <w:r w:rsidRPr="00272104">
              <w:rPr>
                <w:bCs/>
              </w:rPr>
              <w:t xml:space="preserve">Transition services are mandated </w:t>
            </w:r>
            <w:r w:rsidR="00CE6885" w:rsidRPr="00272104">
              <w:rPr>
                <w:bCs/>
              </w:rPr>
              <w:t xml:space="preserve">for students with </w:t>
            </w:r>
            <w:r w:rsidR="00FA05E2" w:rsidRPr="00272104">
              <w:rPr>
                <w:bCs/>
              </w:rPr>
              <w:t>identified needs</w:t>
            </w:r>
            <w:r w:rsidR="00CE6885" w:rsidRPr="00272104">
              <w:rPr>
                <w:bCs/>
              </w:rPr>
              <w:t xml:space="preserve"> to facilitate movement </w:t>
            </w:r>
            <w:r w:rsidRPr="00272104">
              <w:rPr>
                <w:bCs/>
              </w:rPr>
              <w:t>to life after high school</w:t>
            </w:r>
            <w:r w:rsidR="00FA05E2" w:rsidRPr="00272104">
              <w:rPr>
                <w:bCs/>
              </w:rPr>
              <w:t xml:space="preserve">: </w:t>
            </w:r>
            <w:r w:rsidR="00CE6885" w:rsidRPr="00272104">
              <w:rPr>
                <w:bCs/>
              </w:rPr>
              <w:t xml:space="preserve">independent living, employment and post-secondary education.  When transition supports are </w:t>
            </w:r>
            <w:r w:rsidR="00FA05E2" w:rsidRPr="00272104">
              <w:rPr>
                <w:bCs/>
              </w:rPr>
              <w:t xml:space="preserve">consistent </w:t>
            </w:r>
            <w:r w:rsidR="00CE6885" w:rsidRPr="00272104">
              <w:rPr>
                <w:bCs/>
              </w:rPr>
              <w:t xml:space="preserve">with established </w:t>
            </w:r>
            <w:r w:rsidR="00FA05E2" w:rsidRPr="00272104">
              <w:rPr>
                <w:bCs/>
              </w:rPr>
              <w:t>evidence-based-</w:t>
            </w:r>
            <w:r w:rsidR="00CE6885" w:rsidRPr="00272104">
              <w:rPr>
                <w:bCs/>
              </w:rPr>
              <w:t xml:space="preserve"> practices, better outcomes </w:t>
            </w:r>
            <w:r w:rsidR="001B67E5" w:rsidRPr="00272104">
              <w:rPr>
                <w:bCs/>
              </w:rPr>
              <w:t xml:space="preserve">are achieved </w:t>
            </w:r>
            <w:r w:rsidR="00D5521E" w:rsidRPr="00272104">
              <w:rPr>
                <w:bCs/>
              </w:rPr>
              <w:t>for</w:t>
            </w:r>
            <w:r w:rsidR="00FA05E2" w:rsidRPr="00272104">
              <w:rPr>
                <w:bCs/>
              </w:rPr>
              <w:t xml:space="preserve"> </w:t>
            </w:r>
            <w:proofErr w:type="gramStart"/>
            <w:r w:rsidR="00FA05E2" w:rsidRPr="00272104">
              <w:rPr>
                <w:bCs/>
              </w:rPr>
              <w:t xml:space="preserve">transitioning </w:t>
            </w:r>
            <w:r w:rsidR="00D5521E" w:rsidRPr="00272104">
              <w:rPr>
                <w:bCs/>
              </w:rPr>
              <w:t xml:space="preserve"> </w:t>
            </w:r>
            <w:r w:rsidR="0076719F" w:rsidRPr="00272104">
              <w:rPr>
                <w:bCs/>
              </w:rPr>
              <w:t>individuals</w:t>
            </w:r>
            <w:proofErr w:type="gramEnd"/>
            <w:r w:rsidR="00FA05E2" w:rsidRPr="00272104">
              <w:rPr>
                <w:bCs/>
              </w:rPr>
              <w:t>.</w:t>
            </w:r>
          </w:p>
          <w:p w14:paraId="198654C2" w14:textId="77777777" w:rsidR="0094479D" w:rsidRPr="00272104" w:rsidRDefault="0094479D">
            <w:pPr>
              <w:spacing w:line="240" w:lineRule="auto"/>
              <w:rPr>
                <w:bCs/>
              </w:rPr>
            </w:pPr>
          </w:p>
          <w:p w14:paraId="162F51E0" w14:textId="7B539D89" w:rsidR="00902D24" w:rsidRPr="00272104" w:rsidRDefault="008A022F">
            <w:pPr>
              <w:spacing w:line="240" w:lineRule="auto"/>
              <w:rPr>
                <w:bCs/>
              </w:rPr>
            </w:pPr>
            <w:r w:rsidRPr="00272104">
              <w:rPr>
                <w:bCs/>
              </w:rPr>
              <w:t xml:space="preserve">DIS </w:t>
            </w:r>
            <w:r w:rsidR="00D44ACA">
              <w:rPr>
                <w:bCs/>
              </w:rPr>
              <w:t>451</w:t>
            </w:r>
            <w:r w:rsidRPr="00272104">
              <w:rPr>
                <w:bCs/>
              </w:rPr>
              <w:t xml:space="preserve"> is the</w:t>
            </w:r>
            <w:r w:rsidR="0094479D" w:rsidRPr="00272104">
              <w:rPr>
                <w:bCs/>
              </w:rPr>
              <w:t xml:space="preserve"> first course in the proposed </w:t>
            </w:r>
            <w:r w:rsidR="0094479D" w:rsidRPr="00272104">
              <w:rPr>
                <w:bCs/>
                <w:color w:val="FF0000"/>
              </w:rPr>
              <w:t xml:space="preserve">CGS in Transition for Youth with </w:t>
            </w:r>
            <w:r w:rsidR="00FA05E2" w:rsidRPr="00272104">
              <w:rPr>
                <w:bCs/>
                <w:color w:val="FF0000"/>
              </w:rPr>
              <w:t>Exceptionali</w:t>
            </w:r>
            <w:r w:rsidR="00376531" w:rsidRPr="00272104">
              <w:rPr>
                <w:bCs/>
                <w:color w:val="FF0000"/>
              </w:rPr>
              <w:t>ties</w:t>
            </w:r>
            <w:r w:rsidRPr="00272104">
              <w:rPr>
                <w:bCs/>
              </w:rPr>
              <w:t xml:space="preserve">.  DIS </w:t>
            </w:r>
            <w:r w:rsidR="00D44ACA">
              <w:rPr>
                <w:bCs/>
              </w:rPr>
              <w:t>451</w:t>
            </w:r>
            <w:r w:rsidRPr="00272104">
              <w:rPr>
                <w:bCs/>
              </w:rPr>
              <w:t xml:space="preserve"> </w:t>
            </w:r>
            <w:r w:rsidR="0094479D" w:rsidRPr="00272104">
              <w:rPr>
                <w:bCs/>
              </w:rPr>
              <w:t xml:space="preserve">will increase the knowledge and implementation of best practices by teachers, administrators and district and </w:t>
            </w:r>
            <w:r w:rsidRPr="00272104">
              <w:rPr>
                <w:bCs/>
              </w:rPr>
              <w:t>adult service providers</w:t>
            </w:r>
            <w:r w:rsidR="0094479D" w:rsidRPr="00272104">
              <w:rPr>
                <w:bCs/>
              </w:rPr>
              <w:t xml:space="preserve">.   </w:t>
            </w:r>
            <w:r w:rsidR="00902D24" w:rsidRPr="00272104">
              <w:rPr>
                <w:bCs/>
              </w:rPr>
              <w:t xml:space="preserve">The proposed </w:t>
            </w:r>
            <w:r w:rsidR="00DB7709" w:rsidRPr="00272104">
              <w:rPr>
                <w:bCs/>
              </w:rPr>
              <w:t xml:space="preserve">course will prepare students for </w:t>
            </w:r>
            <w:r w:rsidR="00E41E33" w:rsidRPr="00272104">
              <w:rPr>
                <w:bCs/>
              </w:rPr>
              <w:t xml:space="preserve">the three </w:t>
            </w:r>
            <w:r w:rsidR="00FA05E2" w:rsidRPr="00272104">
              <w:rPr>
                <w:bCs/>
              </w:rPr>
              <w:t xml:space="preserve">other proposed </w:t>
            </w:r>
            <w:r w:rsidR="00E41E33" w:rsidRPr="00272104">
              <w:rPr>
                <w:bCs/>
              </w:rPr>
              <w:t xml:space="preserve">courses </w:t>
            </w:r>
            <w:r w:rsidR="00FA05E2" w:rsidRPr="00272104">
              <w:rPr>
                <w:bCs/>
              </w:rPr>
              <w:t xml:space="preserve">DIS 551, DIS 552, and DIS 553 </w:t>
            </w:r>
            <w:r w:rsidR="00E41E33" w:rsidRPr="00272104">
              <w:rPr>
                <w:bCs/>
              </w:rPr>
              <w:t xml:space="preserve">by providing the </w:t>
            </w:r>
            <w:r w:rsidR="005D1B61" w:rsidRPr="00272104">
              <w:rPr>
                <w:bCs/>
              </w:rPr>
              <w:t xml:space="preserve">historical, </w:t>
            </w:r>
            <w:r w:rsidR="00E41E33" w:rsidRPr="00272104">
              <w:rPr>
                <w:bCs/>
              </w:rPr>
              <w:t>contextual, prac</w:t>
            </w:r>
            <w:r w:rsidR="005D1B61" w:rsidRPr="00272104">
              <w:rPr>
                <w:bCs/>
              </w:rPr>
              <w:t>tical and theoretical framework</w:t>
            </w:r>
            <w:r w:rsidR="00E41E33" w:rsidRPr="00272104">
              <w:rPr>
                <w:bCs/>
              </w:rPr>
              <w:t xml:space="preserve"> for effective transition goals and services.  </w:t>
            </w:r>
          </w:p>
          <w:p w14:paraId="21FC4A63" w14:textId="77777777" w:rsidR="00902D24" w:rsidRPr="00272104" w:rsidRDefault="00902D24">
            <w:pPr>
              <w:spacing w:line="240" w:lineRule="auto"/>
              <w:rPr>
                <w:bCs/>
              </w:rPr>
            </w:pPr>
          </w:p>
          <w:p w14:paraId="1FC16B89" w14:textId="225B593E" w:rsidR="00075851" w:rsidRPr="00272104" w:rsidRDefault="00FA05E2" w:rsidP="00075851">
            <w:pPr>
              <w:spacing w:line="240" w:lineRule="auto"/>
              <w:rPr>
                <w:bCs/>
              </w:rPr>
            </w:pPr>
            <w:r w:rsidRPr="00272104">
              <w:rPr>
                <w:bCs/>
              </w:rPr>
              <w:t>T</w:t>
            </w:r>
            <w:r w:rsidR="00D8661F" w:rsidRPr="00272104">
              <w:rPr>
                <w:bCs/>
              </w:rPr>
              <w:t>ransition impacts students</w:t>
            </w:r>
            <w:r w:rsidR="00DB7709" w:rsidRPr="00272104">
              <w:rPr>
                <w:bCs/>
              </w:rPr>
              <w:t xml:space="preserve"> </w:t>
            </w:r>
            <w:r w:rsidR="007D177E" w:rsidRPr="00272104">
              <w:rPr>
                <w:bCs/>
              </w:rPr>
              <w:t xml:space="preserve">with </w:t>
            </w:r>
            <w:r w:rsidRPr="00272104">
              <w:rPr>
                <w:bCs/>
              </w:rPr>
              <w:t xml:space="preserve">identified needs </w:t>
            </w:r>
            <w:r w:rsidR="00DB7709" w:rsidRPr="00272104">
              <w:rPr>
                <w:bCs/>
              </w:rPr>
              <w:t>from ages 14-22</w:t>
            </w:r>
            <w:r w:rsidRPr="00272104">
              <w:rPr>
                <w:bCs/>
              </w:rPr>
              <w:t xml:space="preserve">.  SPED </w:t>
            </w:r>
            <w:r w:rsidR="00D44ACA">
              <w:rPr>
                <w:bCs/>
              </w:rPr>
              <w:t>451</w:t>
            </w:r>
            <w:r w:rsidRPr="00272104">
              <w:rPr>
                <w:bCs/>
              </w:rPr>
              <w:t xml:space="preserve"> will provide participants (i.e. teachers, transition coordinators, administrators</w:t>
            </w:r>
            <w:r w:rsidR="00D8661F" w:rsidRPr="00272104">
              <w:rPr>
                <w:bCs/>
              </w:rPr>
              <w:t>,</w:t>
            </w:r>
            <w:r w:rsidRPr="00272104">
              <w:rPr>
                <w:bCs/>
              </w:rPr>
              <w:t xml:space="preserve"> </w:t>
            </w:r>
            <w:r w:rsidR="00D8661F" w:rsidRPr="00272104">
              <w:rPr>
                <w:bCs/>
              </w:rPr>
              <w:t>families and adult service agenc</w:t>
            </w:r>
            <w:r w:rsidR="00376531" w:rsidRPr="00272104">
              <w:rPr>
                <w:bCs/>
              </w:rPr>
              <w:t>y personnel</w:t>
            </w:r>
            <w:r w:rsidRPr="00272104">
              <w:rPr>
                <w:bCs/>
              </w:rPr>
              <w:t>)</w:t>
            </w:r>
            <w:r w:rsidR="00D8661F" w:rsidRPr="00272104">
              <w:rPr>
                <w:bCs/>
              </w:rPr>
              <w:t xml:space="preserve"> a holistic </w:t>
            </w:r>
            <w:r w:rsidR="002553E4" w:rsidRPr="00272104">
              <w:rPr>
                <w:bCs/>
              </w:rPr>
              <w:t>understanding</w:t>
            </w:r>
            <w:r w:rsidR="00D8661F" w:rsidRPr="00272104">
              <w:rPr>
                <w:bCs/>
              </w:rPr>
              <w:t xml:space="preserve"> </w:t>
            </w:r>
            <w:r w:rsidR="00DB7709" w:rsidRPr="00272104">
              <w:rPr>
                <w:bCs/>
              </w:rPr>
              <w:t xml:space="preserve">of transition </w:t>
            </w:r>
            <w:r w:rsidR="002553E4" w:rsidRPr="00272104">
              <w:rPr>
                <w:bCs/>
              </w:rPr>
              <w:t>practices and services that support</w:t>
            </w:r>
            <w:r w:rsidR="00D8661F" w:rsidRPr="00272104">
              <w:rPr>
                <w:bCs/>
              </w:rPr>
              <w:t xml:space="preserve"> optimal outcomes for students</w:t>
            </w:r>
            <w:r w:rsidR="007D177E" w:rsidRPr="00272104">
              <w:rPr>
                <w:bCs/>
              </w:rPr>
              <w:t xml:space="preserve"> with </w:t>
            </w:r>
            <w:r w:rsidRPr="00272104">
              <w:rPr>
                <w:bCs/>
              </w:rPr>
              <w:t>special needs.  S</w:t>
            </w:r>
            <w:r w:rsidR="00902D24" w:rsidRPr="00272104">
              <w:rPr>
                <w:bCs/>
              </w:rPr>
              <w:t>elf-determination</w:t>
            </w:r>
            <w:r w:rsidRPr="00272104">
              <w:rPr>
                <w:bCs/>
              </w:rPr>
              <w:t xml:space="preserve">, </w:t>
            </w:r>
            <w:r w:rsidR="00902D24" w:rsidRPr="00272104">
              <w:rPr>
                <w:bCs/>
              </w:rPr>
              <w:t xml:space="preserve">alignment of academic supports and employment </w:t>
            </w:r>
            <w:r w:rsidR="005F60F1" w:rsidRPr="00272104">
              <w:rPr>
                <w:bCs/>
              </w:rPr>
              <w:t xml:space="preserve">experiences, </w:t>
            </w:r>
            <w:r w:rsidRPr="00272104">
              <w:rPr>
                <w:bCs/>
              </w:rPr>
              <w:t xml:space="preserve">and transition </w:t>
            </w:r>
            <w:r w:rsidR="005F60F1" w:rsidRPr="00272104">
              <w:rPr>
                <w:bCs/>
              </w:rPr>
              <w:t>assessment</w:t>
            </w:r>
            <w:r w:rsidRPr="00272104">
              <w:rPr>
                <w:bCs/>
              </w:rPr>
              <w:t xml:space="preserve"> </w:t>
            </w:r>
            <w:r w:rsidR="00902D24" w:rsidRPr="00272104">
              <w:rPr>
                <w:bCs/>
              </w:rPr>
              <w:t xml:space="preserve">guide the </w:t>
            </w:r>
            <w:r w:rsidR="00DB7709" w:rsidRPr="00272104">
              <w:rPr>
                <w:bCs/>
              </w:rPr>
              <w:t>IEP and transition</w:t>
            </w:r>
            <w:r w:rsidRPr="00272104">
              <w:rPr>
                <w:bCs/>
              </w:rPr>
              <w:t xml:space="preserve"> </w:t>
            </w:r>
            <w:r w:rsidR="00DB7709" w:rsidRPr="00272104">
              <w:rPr>
                <w:bCs/>
              </w:rPr>
              <w:t>services</w:t>
            </w:r>
            <w:r w:rsidRPr="00272104">
              <w:rPr>
                <w:bCs/>
              </w:rPr>
              <w:t xml:space="preserve"> for students with an identified disability.  </w:t>
            </w:r>
            <w:r w:rsidR="00D8661F" w:rsidRPr="00272104">
              <w:rPr>
                <w:bCs/>
              </w:rPr>
              <w:t xml:space="preserve">Understanding the </w:t>
            </w:r>
            <w:r w:rsidRPr="00272104">
              <w:rPr>
                <w:bCs/>
              </w:rPr>
              <w:t xml:space="preserve">federal and state </w:t>
            </w:r>
            <w:r w:rsidR="00D8661F" w:rsidRPr="00272104">
              <w:rPr>
                <w:bCs/>
              </w:rPr>
              <w:t>laws</w:t>
            </w:r>
            <w:r w:rsidRPr="00272104">
              <w:rPr>
                <w:bCs/>
              </w:rPr>
              <w:t xml:space="preserve"> and timelines for practices </w:t>
            </w:r>
            <w:r w:rsidR="00D8661F" w:rsidRPr="00272104">
              <w:rPr>
                <w:bCs/>
              </w:rPr>
              <w:t xml:space="preserve">that </w:t>
            </w:r>
            <w:r w:rsidR="00DB7709" w:rsidRPr="00272104">
              <w:rPr>
                <w:bCs/>
              </w:rPr>
              <w:t>guide</w:t>
            </w:r>
            <w:r w:rsidR="00D8661F" w:rsidRPr="00272104">
              <w:rPr>
                <w:bCs/>
              </w:rPr>
              <w:t xml:space="preserve"> transition is of benefit to students, families and school districts.  </w:t>
            </w:r>
            <w:r w:rsidR="00DB7709" w:rsidRPr="00272104">
              <w:rPr>
                <w:bCs/>
              </w:rPr>
              <w:t xml:space="preserve">Collectively, this content </w:t>
            </w:r>
            <w:r w:rsidRPr="00272104">
              <w:rPr>
                <w:bCs/>
              </w:rPr>
              <w:t>aligns with</w:t>
            </w:r>
            <w:r w:rsidR="00813E14" w:rsidRPr="00272104">
              <w:rPr>
                <w:bCs/>
              </w:rPr>
              <w:t xml:space="preserve"> knowledge, skills and dispositions </w:t>
            </w:r>
            <w:r w:rsidRPr="00272104">
              <w:rPr>
                <w:bCs/>
              </w:rPr>
              <w:t>outlined by</w:t>
            </w:r>
            <w:r w:rsidR="00DB7709" w:rsidRPr="00272104">
              <w:rPr>
                <w:bCs/>
              </w:rPr>
              <w:t xml:space="preserve"> the C</w:t>
            </w:r>
            <w:r w:rsidRPr="00272104">
              <w:rPr>
                <w:bCs/>
              </w:rPr>
              <w:t xml:space="preserve">ouncil for </w:t>
            </w:r>
            <w:r w:rsidR="00DB7709" w:rsidRPr="00272104">
              <w:rPr>
                <w:bCs/>
              </w:rPr>
              <w:t>E</w:t>
            </w:r>
            <w:r w:rsidRPr="00272104">
              <w:rPr>
                <w:bCs/>
              </w:rPr>
              <w:t xml:space="preserve">xceptional </w:t>
            </w:r>
            <w:r w:rsidR="00DB7709" w:rsidRPr="00272104">
              <w:rPr>
                <w:bCs/>
              </w:rPr>
              <w:t>C</w:t>
            </w:r>
            <w:r w:rsidRPr="00272104">
              <w:rPr>
                <w:bCs/>
              </w:rPr>
              <w:t>hildren</w:t>
            </w:r>
            <w:r w:rsidR="00DB7709" w:rsidRPr="00272104">
              <w:rPr>
                <w:bCs/>
              </w:rPr>
              <w:t xml:space="preserve"> advanced standards for transition specialists</w:t>
            </w:r>
            <w:r w:rsidR="00813E14" w:rsidRPr="00272104">
              <w:rPr>
                <w:bCs/>
              </w:rPr>
              <w:t xml:space="preserve">.  </w:t>
            </w:r>
          </w:p>
          <w:p w14:paraId="4BA43F0F" w14:textId="77777777" w:rsidR="00E0699A" w:rsidRPr="00272104" w:rsidRDefault="00E0699A">
            <w:pPr>
              <w:spacing w:line="240" w:lineRule="auto"/>
              <w:rPr>
                <w:bCs/>
              </w:rPr>
            </w:pPr>
          </w:p>
          <w:p w14:paraId="072D90C5" w14:textId="236187BF" w:rsidR="004331B7" w:rsidRPr="00272104" w:rsidRDefault="004331B7">
            <w:pPr>
              <w:spacing w:line="240" w:lineRule="auto"/>
              <w:rPr>
                <w:bCs/>
              </w:rPr>
            </w:pPr>
            <w:r w:rsidRPr="00272104">
              <w:rPr>
                <w:bCs/>
              </w:rPr>
              <w:t>This content is not addressed in an organized or significant way</w:t>
            </w:r>
            <w:r w:rsidR="00BE55B7" w:rsidRPr="00272104">
              <w:rPr>
                <w:bCs/>
              </w:rPr>
              <w:t xml:space="preserve"> by othe</w:t>
            </w:r>
            <w:r w:rsidR="001650F9" w:rsidRPr="00272104">
              <w:rPr>
                <w:bCs/>
              </w:rPr>
              <w:t xml:space="preserve">r RIC </w:t>
            </w:r>
            <w:r w:rsidR="005B7569" w:rsidRPr="00272104">
              <w:rPr>
                <w:bCs/>
              </w:rPr>
              <w:t>courses</w:t>
            </w:r>
            <w:r w:rsidRPr="00272104">
              <w:rPr>
                <w:bCs/>
              </w:rPr>
              <w:t xml:space="preserve">.  </w:t>
            </w:r>
            <w:r w:rsidR="00FA05E2" w:rsidRPr="00272104">
              <w:rPr>
                <w:bCs/>
              </w:rPr>
              <w:t>This course is a 400</w:t>
            </w:r>
            <w:r w:rsidR="00376531" w:rsidRPr="00272104">
              <w:rPr>
                <w:bCs/>
              </w:rPr>
              <w:t>-</w:t>
            </w:r>
            <w:r w:rsidR="00FA05E2" w:rsidRPr="00272104">
              <w:rPr>
                <w:bCs/>
              </w:rPr>
              <w:t xml:space="preserve">level course to enable undergraduates to receive this introductory coursework as an elective in their </w:t>
            </w:r>
            <w:r w:rsidR="00376531" w:rsidRPr="00272104">
              <w:rPr>
                <w:bCs/>
              </w:rPr>
              <w:t xml:space="preserve">undergraduate </w:t>
            </w:r>
            <w:r w:rsidR="00FA05E2" w:rsidRPr="00272104">
              <w:rPr>
                <w:bCs/>
              </w:rPr>
              <w:t xml:space="preserve">program, and act as the introductory course in the proposed </w:t>
            </w:r>
            <w:r w:rsidR="00FA05E2" w:rsidRPr="00272104">
              <w:rPr>
                <w:bCs/>
                <w:color w:val="FF0000"/>
              </w:rPr>
              <w:t>CGS in Transition for Youth with Exceptionalities.</w:t>
            </w:r>
          </w:p>
          <w:p w14:paraId="5B4C4C65" w14:textId="77777777" w:rsidR="00707856" w:rsidRPr="00272104" w:rsidRDefault="00707856">
            <w:pPr>
              <w:spacing w:line="240" w:lineRule="auto"/>
              <w:rPr>
                <w:bCs/>
              </w:rPr>
            </w:pPr>
          </w:p>
          <w:p w14:paraId="05EEBBB2" w14:textId="0C535D51" w:rsidR="00F64260" w:rsidRPr="00272104" w:rsidRDefault="004A3F20" w:rsidP="00376531">
            <w:pPr>
              <w:spacing w:line="240" w:lineRule="auto"/>
              <w:rPr>
                <w:bCs/>
              </w:rPr>
            </w:pPr>
            <w:r>
              <w:rPr>
                <w:bCs/>
              </w:rPr>
              <w:t xml:space="preserve">DIS </w:t>
            </w:r>
            <w:r w:rsidR="00D44ACA">
              <w:rPr>
                <w:bCs/>
              </w:rPr>
              <w:t>451</w:t>
            </w:r>
            <w:r>
              <w:rPr>
                <w:bCs/>
              </w:rPr>
              <w:t xml:space="preserve"> has been developed in partnership with the Sherlock Center on Disabilities at RIC.  The Sherlock Center is the Rhode Island leader in changing transition practices at both the school and adult life level.</w:t>
            </w:r>
          </w:p>
        </w:tc>
      </w:tr>
      <w:tr w:rsidR="000357A5" w:rsidRPr="006E3AF2" w14:paraId="16E2A762" w14:textId="77777777" w:rsidTr="000357A5">
        <w:trPr>
          <w:cantSplit/>
        </w:trPr>
        <w:tc>
          <w:tcPr>
            <w:tcW w:w="1111" w:type="pct"/>
            <w:vAlign w:val="center"/>
          </w:tcPr>
          <w:p w14:paraId="0EB96960" w14:textId="3064B18D"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79D369F" w:rsidR="000357A5" w:rsidRPr="008B0588" w:rsidRDefault="00376531" w:rsidP="00A74B66">
            <w:pPr>
              <w:rPr>
                <w:bCs/>
              </w:rPr>
            </w:pPr>
            <w:r w:rsidRPr="008B0588">
              <w:rPr>
                <w:bCs/>
              </w:rPr>
              <w:t>This course will offer content not currently available to RIC students.  Some information is included in other courses, but the focus is on educat</w:t>
            </w:r>
            <w:r w:rsidR="005F5332" w:rsidRPr="008B0588">
              <w:rPr>
                <w:bCs/>
              </w:rPr>
              <w:t>ion</w:t>
            </w:r>
            <w:r w:rsidRPr="008B0588">
              <w:rPr>
                <w:bCs/>
              </w:rPr>
              <w:t xml:space="preserve"> only.  This course provides a depth and breadth from multiple transition perspectives that is not available in other courses.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55B453F8" w:rsidR="000357A5" w:rsidRPr="008B0588" w:rsidRDefault="00B702FE" w:rsidP="00B70D5F">
            <w:pPr>
              <w:rPr>
                <w:bCs/>
              </w:rPr>
            </w:pPr>
            <w:r w:rsidRPr="008B0588">
              <w:rPr>
                <w:bCs/>
              </w:rPr>
              <w:t>This course</w:t>
            </w:r>
            <w:r w:rsidR="00737219" w:rsidRPr="008B0588">
              <w:rPr>
                <w:bCs/>
              </w:rPr>
              <w:t xml:space="preserve"> will have a positive impact </w:t>
            </w:r>
            <w:r w:rsidR="00B70D5F" w:rsidRPr="008B0588">
              <w:rPr>
                <w:bCs/>
              </w:rPr>
              <w:t xml:space="preserve">as an elective for </w:t>
            </w:r>
            <w:r w:rsidR="00376531" w:rsidRPr="008B0588">
              <w:rPr>
                <w:bCs/>
              </w:rPr>
              <w:t xml:space="preserve">undergraduate students, </w:t>
            </w:r>
            <w:r w:rsidR="00B70D5F" w:rsidRPr="008B0588">
              <w:rPr>
                <w:bCs/>
              </w:rPr>
              <w:t xml:space="preserve">graduate students </w:t>
            </w:r>
            <w:r w:rsidR="00376531" w:rsidRPr="008B0588">
              <w:rPr>
                <w:bCs/>
              </w:rPr>
              <w:t>in all special education and related service programs with elective coursework, by providing</w:t>
            </w:r>
            <w:r w:rsidR="00B70D5F" w:rsidRPr="008B0588">
              <w:rPr>
                <w:bCs/>
              </w:rPr>
              <w:t xml:space="preserve"> an understanding of transition as it relates to students aged 14-22</w:t>
            </w:r>
            <w:r w:rsidR="00376531" w:rsidRPr="008B0588">
              <w:rPr>
                <w:bCs/>
              </w:rPr>
              <w:t xml:space="preserve"> with exceptionalities. </w:t>
            </w:r>
            <w:r w:rsidR="00652ADB">
              <w:rPr>
                <w:bCs/>
              </w:rPr>
              <w:t xml:space="preserve"> </w:t>
            </w:r>
            <w:r w:rsidR="00652ADB">
              <w:rPr>
                <w:bCs/>
              </w:rPr>
              <w:t xml:space="preserve">This course may </w:t>
            </w:r>
            <w:r w:rsidR="00652ADB">
              <w:rPr>
                <w:bCs/>
              </w:rPr>
              <w:t xml:space="preserve">also </w:t>
            </w:r>
            <w:bookmarkStart w:id="6" w:name="_GoBack"/>
            <w:bookmarkEnd w:id="6"/>
            <w:r w:rsidR="00652ADB">
              <w:rPr>
                <w:bCs/>
              </w:rPr>
              <w:t xml:space="preserve">be embedded into existing programs (i.e. M. Ed. In Exceptional Learning Needs in the </w:t>
            </w:r>
            <w:r w:rsidR="00652ADB">
              <w:t>Specialized study in an area of professional interest</w:t>
            </w:r>
            <w:r w:rsidR="00652ADB">
              <w:rPr>
                <w:bCs/>
              </w:rPr>
              <w:t>, or the M.Ed. in Severe Intellectual Disabilities as elective coursework).</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69B6F451" w14:textId="3D62E2EC" w:rsidR="00B07266" w:rsidRPr="00C25F9D" w:rsidRDefault="00737219" w:rsidP="00C25F9D">
            <w:pPr>
              <w:rPr>
                <w:b/>
              </w:rPr>
            </w:pPr>
            <w:bookmarkStart w:id="8" w:name="faculty"/>
            <w:bookmarkEnd w:id="8"/>
            <w:r>
              <w:rPr>
                <w:b/>
              </w:rPr>
              <w:t xml:space="preserve">Existing SPED FT faculty and </w:t>
            </w:r>
            <w:r w:rsidR="00376531">
              <w:rPr>
                <w:b/>
              </w:rPr>
              <w:t>adjunct faculty</w:t>
            </w:r>
            <w:r>
              <w:rPr>
                <w:b/>
              </w:rPr>
              <w:t xml:space="preserve"> will teach CGS coursework </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652AD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03357A09" w:rsidR="00B07266" w:rsidRPr="00C25F9D" w:rsidRDefault="002B51C4" w:rsidP="00C25F9D">
            <w:pPr>
              <w:rPr>
                <w:b/>
              </w:rPr>
            </w:pPr>
            <w:bookmarkStart w:id="9" w:name="library"/>
            <w:bookmarkEnd w:id="9"/>
            <w:r>
              <w:rPr>
                <w:b/>
              </w:rPr>
              <w:t>N/A</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652ADB"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35975156" w:rsidR="00B07266" w:rsidRPr="00C25F9D" w:rsidRDefault="002B51C4" w:rsidP="00C25F9D">
            <w:pPr>
              <w:rPr>
                <w:b/>
              </w:rPr>
            </w:pPr>
            <w:bookmarkStart w:id="10" w:name="technology"/>
            <w:bookmarkEnd w:id="10"/>
            <w:r>
              <w:rPr>
                <w:b/>
              </w:rPr>
              <w:t>N/A</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652ADB"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09180E37" w:rsidR="00B07266" w:rsidRPr="00C25F9D" w:rsidRDefault="002B51C4" w:rsidP="00C25F9D">
            <w:pPr>
              <w:rPr>
                <w:b/>
              </w:rPr>
            </w:pPr>
            <w:bookmarkStart w:id="11" w:name="facilities"/>
            <w:bookmarkEnd w:id="11"/>
            <w:r>
              <w:rPr>
                <w:b/>
              </w:rPr>
              <w:t>N/A</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0B5694A0" w:rsidR="00B07266" w:rsidRPr="00C25F9D" w:rsidRDefault="00376531" w:rsidP="00C25F9D">
            <w:pPr>
              <w:rPr>
                <w:b/>
              </w:rPr>
            </w:pPr>
            <w:r>
              <w:rPr>
                <w:b/>
              </w:rPr>
              <w:t xml:space="preserve">This course (and the proposed CGS in Transition for Students with Exceptionalities) will be promoted to special education directors in RI who oversee school teams who serve students of transition age. </w:t>
            </w:r>
          </w:p>
        </w:tc>
      </w:tr>
      <w:tr w:rsidR="000357A5" w:rsidRPr="006E3AF2" w14:paraId="45835EBD" w14:textId="4DFDEEF9" w:rsidTr="005F3E54">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AE60069" w:rsidR="000357A5" w:rsidRPr="00B649C4" w:rsidRDefault="002B51C4" w:rsidP="00C25F9D">
            <w:pPr>
              <w:rPr>
                <w:b/>
              </w:rPr>
            </w:pPr>
            <w:bookmarkStart w:id="12" w:name="prog_impact"/>
            <w:bookmarkEnd w:id="12"/>
            <w:r>
              <w:rPr>
                <w:b/>
              </w:rPr>
              <w:t>Fall 2020</w:t>
            </w:r>
          </w:p>
        </w:tc>
        <w:tc>
          <w:tcPr>
            <w:tcW w:w="1992"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108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4879"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7419"/>
      </w:tblGrid>
      <w:tr w:rsidR="00D44ACA" w:rsidRPr="006E3AF2" w14:paraId="3273EA00" w14:textId="77777777" w:rsidTr="00D44ACA">
        <w:trPr>
          <w:tblHeader/>
        </w:trPr>
        <w:tc>
          <w:tcPr>
            <w:tcW w:w="3100" w:type="dxa"/>
            <w:shd w:val="clear" w:color="auto" w:fill="FABF8F"/>
            <w:noWrap/>
            <w:vAlign w:val="center"/>
          </w:tcPr>
          <w:p w14:paraId="774A5834" w14:textId="77777777" w:rsidR="00D44ACA" w:rsidRPr="00A83A6C" w:rsidRDefault="00D44ACA" w:rsidP="008847FE">
            <w:pPr>
              <w:pStyle w:val="Heading5"/>
              <w:keepNext/>
              <w:spacing w:before="0" w:after="0" w:line="240" w:lineRule="auto"/>
            </w:pPr>
          </w:p>
        </w:tc>
        <w:tc>
          <w:tcPr>
            <w:tcW w:w="7420" w:type="dxa"/>
            <w:noWrap/>
          </w:tcPr>
          <w:p w14:paraId="3948A1CC" w14:textId="77777777" w:rsidR="00D44ACA" w:rsidRPr="00A83A6C" w:rsidRDefault="00D44ACA" w:rsidP="008847FE">
            <w:pPr>
              <w:pStyle w:val="Heading5"/>
              <w:keepNext/>
              <w:spacing w:before="0" w:after="0" w:line="240" w:lineRule="auto"/>
              <w:jc w:val="center"/>
            </w:pPr>
            <w:r w:rsidRPr="00A83A6C">
              <w:t>New</w:t>
            </w:r>
          </w:p>
        </w:tc>
      </w:tr>
      <w:tr w:rsidR="00D44ACA" w:rsidRPr="006E3AF2" w14:paraId="305B0940" w14:textId="77777777" w:rsidTr="00D44ACA">
        <w:tc>
          <w:tcPr>
            <w:tcW w:w="3100" w:type="dxa"/>
            <w:noWrap/>
            <w:vAlign w:val="center"/>
          </w:tcPr>
          <w:p w14:paraId="23E4C224" w14:textId="77777777" w:rsidR="00D44ACA" w:rsidRPr="006E3AF2" w:rsidRDefault="00D44ACA"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420" w:type="dxa"/>
            <w:noWrap/>
          </w:tcPr>
          <w:p w14:paraId="72E4032F" w14:textId="3D41A7AC" w:rsidR="00D44ACA" w:rsidRPr="009F029C" w:rsidRDefault="00D44ACA" w:rsidP="001429AA">
            <w:pPr>
              <w:spacing w:line="240" w:lineRule="auto"/>
              <w:rPr>
                <w:b/>
              </w:rPr>
            </w:pPr>
            <w:bookmarkStart w:id="13" w:name="cours_title"/>
            <w:bookmarkEnd w:id="13"/>
            <w:r>
              <w:rPr>
                <w:b/>
              </w:rPr>
              <w:t>DIS 451</w:t>
            </w:r>
          </w:p>
        </w:tc>
      </w:tr>
      <w:tr w:rsidR="00D44ACA" w:rsidRPr="006E3AF2" w14:paraId="37592E9F" w14:textId="77777777" w:rsidTr="00D44ACA">
        <w:tc>
          <w:tcPr>
            <w:tcW w:w="3100" w:type="dxa"/>
            <w:noWrap/>
            <w:vAlign w:val="center"/>
          </w:tcPr>
          <w:p w14:paraId="2F7EBABC" w14:textId="77777777" w:rsidR="00D44ACA" w:rsidRPr="006E3AF2" w:rsidRDefault="00D44ACA" w:rsidP="00013152">
            <w:pPr>
              <w:spacing w:line="240" w:lineRule="auto"/>
            </w:pPr>
            <w:r>
              <w:t>B.2. C</w:t>
            </w:r>
            <w:r w:rsidRPr="006E3AF2">
              <w:t>ross listing number</w:t>
            </w:r>
            <w:r>
              <w:t xml:space="preserve"> if any</w:t>
            </w:r>
          </w:p>
        </w:tc>
        <w:tc>
          <w:tcPr>
            <w:tcW w:w="7420" w:type="dxa"/>
            <w:noWrap/>
          </w:tcPr>
          <w:p w14:paraId="2FF72528" w14:textId="77777777" w:rsidR="00D44ACA" w:rsidRPr="009F029C" w:rsidRDefault="00D44ACA" w:rsidP="001429AA">
            <w:pPr>
              <w:spacing w:line="240" w:lineRule="auto"/>
              <w:rPr>
                <w:b/>
              </w:rPr>
            </w:pPr>
          </w:p>
        </w:tc>
      </w:tr>
      <w:tr w:rsidR="00D44ACA" w:rsidRPr="006E3AF2" w14:paraId="41D21786" w14:textId="77777777" w:rsidTr="00D44ACA">
        <w:tc>
          <w:tcPr>
            <w:tcW w:w="3100" w:type="dxa"/>
            <w:noWrap/>
            <w:vAlign w:val="center"/>
          </w:tcPr>
          <w:p w14:paraId="735E615A" w14:textId="0A3F5919" w:rsidR="00D44ACA" w:rsidRPr="006E3AF2" w:rsidRDefault="00D44ACA"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420" w:type="dxa"/>
            <w:noWrap/>
          </w:tcPr>
          <w:p w14:paraId="001F0A12" w14:textId="774A94B6" w:rsidR="00D44ACA" w:rsidRPr="009F029C" w:rsidRDefault="00D44ACA" w:rsidP="00BE55B7">
            <w:pPr>
              <w:spacing w:line="240" w:lineRule="auto"/>
              <w:rPr>
                <w:b/>
              </w:rPr>
            </w:pPr>
            <w:bookmarkStart w:id="14" w:name="title"/>
            <w:bookmarkEnd w:id="14"/>
            <w:r>
              <w:rPr>
                <w:b/>
              </w:rPr>
              <w:t>Introduction to Transition to Adult Life</w:t>
            </w:r>
          </w:p>
        </w:tc>
      </w:tr>
      <w:tr w:rsidR="00D44ACA" w:rsidRPr="006E3AF2" w14:paraId="5164065A" w14:textId="77777777" w:rsidTr="00D44ACA">
        <w:tc>
          <w:tcPr>
            <w:tcW w:w="3100" w:type="dxa"/>
            <w:noWrap/>
            <w:vAlign w:val="center"/>
          </w:tcPr>
          <w:p w14:paraId="33DD585B" w14:textId="700A591D" w:rsidR="00D44ACA" w:rsidRPr="006E3AF2" w:rsidRDefault="00D44ACA"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420" w:type="dxa"/>
            <w:noWrap/>
          </w:tcPr>
          <w:p w14:paraId="2DB344D2" w14:textId="4780F4ED" w:rsidR="00D44ACA" w:rsidRPr="00362725" w:rsidRDefault="00362725" w:rsidP="00362725">
            <w:pPr>
              <w:pStyle w:val="sc-BodyText"/>
              <w:rPr>
                <w:rFonts w:asciiTheme="minorHAnsi" w:hAnsiTheme="minorHAnsi"/>
                <w:b/>
                <w:sz w:val="20"/>
                <w:szCs w:val="20"/>
              </w:rPr>
            </w:pPr>
            <w:bookmarkStart w:id="15" w:name="description"/>
            <w:bookmarkEnd w:id="15"/>
            <w:r w:rsidRPr="00362725">
              <w:rPr>
                <w:rFonts w:asciiTheme="minorHAnsi" w:hAnsiTheme="minorHAnsi"/>
                <w:b/>
                <w:sz w:val="20"/>
                <w:szCs w:val="20"/>
              </w:rPr>
              <w:t>Students will gain knowledge of the historical and contextual factors that impact transition for youth with exceptionalities. State and federal transition laws and roles of all stakeholders will be reviewed.</w:t>
            </w:r>
          </w:p>
        </w:tc>
      </w:tr>
      <w:tr w:rsidR="00D44ACA" w:rsidRPr="006E3AF2" w14:paraId="51F71CBF" w14:textId="77777777" w:rsidTr="00D44ACA">
        <w:tc>
          <w:tcPr>
            <w:tcW w:w="3100" w:type="dxa"/>
            <w:noWrap/>
            <w:vAlign w:val="center"/>
          </w:tcPr>
          <w:p w14:paraId="05549147" w14:textId="77777777" w:rsidR="00D44ACA" w:rsidRPr="006E3AF2" w:rsidRDefault="00D44ACA"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420" w:type="dxa"/>
            <w:noWrap/>
          </w:tcPr>
          <w:p w14:paraId="350312DB" w14:textId="6774180C" w:rsidR="00D44ACA" w:rsidRPr="00362725" w:rsidRDefault="00362725" w:rsidP="001429AA">
            <w:pPr>
              <w:spacing w:line="240" w:lineRule="auto"/>
              <w:rPr>
                <w:rFonts w:asciiTheme="minorHAnsi" w:hAnsiTheme="minorHAnsi"/>
                <w:b/>
                <w:sz w:val="20"/>
                <w:szCs w:val="20"/>
              </w:rPr>
            </w:pPr>
            <w:bookmarkStart w:id="16" w:name="prereqs"/>
            <w:bookmarkEnd w:id="16"/>
            <w:r w:rsidRPr="00EB7AF7">
              <w:rPr>
                <w:rFonts w:asciiTheme="minorHAnsi" w:hAnsiTheme="minorHAnsi"/>
                <w:b/>
                <w:sz w:val="20"/>
                <w:szCs w:val="20"/>
              </w:rPr>
              <w:t xml:space="preserve">Admission to the Feinstein School of Education and Human Development, Senior status (90 credit hours successfully completed), </w:t>
            </w:r>
            <w:r>
              <w:rPr>
                <w:rFonts w:asciiTheme="minorHAnsi" w:hAnsiTheme="minorHAnsi"/>
                <w:b/>
                <w:sz w:val="20"/>
                <w:szCs w:val="20"/>
              </w:rPr>
              <w:t xml:space="preserve">graduate status, </w:t>
            </w:r>
            <w:r w:rsidRPr="00EB7AF7">
              <w:rPr>
                <w:rFonts w:asciiTheme="minorHAnsi" w:hAnsiTheme="minorHAnsi"/>
                <w:b/>
                <w:sz w:val="20"/>
                <w:szCs w:val="20"/>
              </w:rPr>
              <w:t>or consent of department chair.</w:t>
            </w:r>
          </w:p>
        </w:tc>
      </w:tr>
      <w:tr w:rsidR="00D44ACA" w:rsidRPr="006E3AF2" w14:paraId="18ED5FDA" w14:textId="77777777" w:rsidTr="00D44ACA">
        <w:tc>
          <w:tcPr>
            <w:tcW w:w="3100" w:type="dxa"/>
            <w:noWrap/>
            <w:vAlign w:val="center"/>
          </w:tcPr>
          <w:p w14:paraId="1016A647" w14:textId="66DC7F44" w:rsidR="00D44ACA" w:rsidRPr="006E3AF2" w:rsidRDefault="00D44ACA"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420" w:type="dxa"/>
            <w:noWrap/>
          </w:tcPr>
          <w:p w14:paraId="70575036" w14:textId="626A2D58" w:rsidR="00D44ACA" w:rsidRDefault="00D44ACA" w:rsidP="002B51C4">
            <w:pPr>
              <w:spacing w:line="240" w:lineRule="auto"/>
              <w:rPr>
                <w:b/>
                <w:sz w:val="20"/>
              </w:rPr>
            </w:pPr>
            <w:r>
              <w:rPr>
                <w:b/>
                <w:sz w:val="20"/>
              </w:rPr>
              <w:t>Annually, fall semester</w:t>
            </w:r>
          </w:p>
          <w:p w14:paraId="6E8FAD04" w14:textId="01B1DA07" w:rsidR="00D44ACA" w:rsidRPr="009F029C" w:rsidRDefault="00D44ACA" w:rsidP="00BE55B7">
            <w:pPr>
              <w:spacing w:line="240" w:lineRule="auto"/>
              <w:rPr>
                <w:b/>
                <w:sz w:val="20"/>
              </w:rPr>
            </w:pPr>
          </w:p>
        </w:tc>
      </w:tr>
      <w:tr w:rsidR="00D44ACA" w:rsidRPr="006E3AF2" w14:paraId="6C9D583C" w14:textId="77777777" w:rsidTr="00D44ACA">
        <w:tc>
          <w:tcPr>
            <w:tcW w:w="3100" w:type="dxa"/>
            <w:noWrap/>
            <w:vAlign w:val="center"/>
          </w:tcPr>
          <w:p w14:paraId="6582E929" w14:textId="77777777" w:rsidR="00D44ACA" w:rsidRPr="006E3AF2" w:rsidRDefault="00D44ACA"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420" w:type="dxa"/>
            <w:noWrap/>
          </w:tcPr>
          <w:p w14:paraId="790915FC" w14:textId="4A93822E" w:rsidR="00D44ACA" w:rsidRPr="009F029C" w:rsidRDefault="00D44ACA" w:rsidP="001429AA">
            <w:pPr>
              <w:spacing w:line="240" w:lineRule="auto"/>
              <w:rPr>
                <w:b/>
              </w:rPr>
            </w:pPr>
            <w:bookmarkStart w:id="17" w:name="contacthours"/>
            <w:bookmarkEnd w:id="17"/>
            <w:r>
              <w:rPr>
                <w:b/>
              </w:rPr>
              <w:t>45 contact hours</w:t>
            </w:r>
          </w:p>
        </w:tc>
      </w:tr>
      <w:tr w:rsidR="00D44ACA" w:rsidRPr="006E3AF2" w14:paraId="33B99A97" w14:textId="77777777" w:rsidTr="00D44ACA">
        <w:tc>
          <w:tcPr>
            <w:tcW w:w="3100" w:type="dxa"/>
            <w:noWrap/>
            <w:vAlign w:val="center"/>
          </w:tcPr>
          <w:p w14:paraId="6B4EE104" w14:textId="77777777" w:rsidR="00D44ACA" w:rsidRPr="006E3AF2" w:rsidRDefault="00D44ACA"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420" w:type="dxa"/>
            <w:noWrap/>
          </w:tcPr>
          <w:p w14:paraId="4F70C16F" w14:textId="71D0FB66" w:rsidR="00D44ACA" w:rsidRPr="009F029C" w:rsidRDefault="00D44ACA" w:rsidP="001429AA">
            <w:pPr>
              <w:spacing w:line="240" w:lineRule="auto"/>
              <w:rPr>
                <w:b/>
              </w:rPr>
            </w:pPr>
            <w:bookmarkStart w:id="18" w:name="credits"/>
            <w:bookmarkEnd w:id="18"/>
            <w:r>
              <w:rPr>
                <w:b/>
              </w:rPr>
              <w:t>3</w:t>
            </w:r>
          </w:p>
        </w:tc>
      </w:tr>
      <w:tr w:rsidR="00D44ACA" w:rsidRPr="006E3AF2" w14:paraId="4CBDFD46" w14:textId="77777777" w:rsidTr="00D44ACA">
        <w:trPr>
          <w:gridAfter w:val="1"/>
          <w:wAfter w:w="7420" w:type="dxa"/>
        </w:trPr>
        <w:tc>
          <w:tcPr>
            <w:tcW w:w="3100" w:type="dxa"/>
            <w:noWrap/>
            <w:vAlign w:val="center"/>
          </w:tcPr>
          <w:p w14:paraId="726C4F78" w14:textId="75E699EC" w:rsidR="00D44ACA" w:rsidRPr="006E3AF2" w:rsidRDefault="00D44ACA"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19" w:name="differences"/>
        <w:bookmarkEnd w:id="19"/>
      </w:tr>
      <w:tr w:rsidR="00D44ACA" w:rsidRPr="006E3AF2" w14:paraId="3F978964" w14:textId="77777777" w:rsidTr="00D44ACA">
        <w:tc>
          <w:tcPr>
            <w:tcW w:w="3100" w:type="dxa"/>
            <w:noWrap/>
            <w:vAlign w:val="center"/>
          </w:tcPr>
          <w:p w14:paraId="2FAA3C00" w14:textId="77777777" w:rsidR="00D44ACA" w:rsidRPr="006E3AF2" w:rsidRDefault="00D44ACA"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420" w:type="dxa"/>
            <w:noWrap/>
          </w:tcPr>
          <w:p w14:paraId="32C16048" w14:textId="71A2A6E5" w:rsidR="00D44ACA" w:rsidRPr="009F029C" w:rsidRDefault="00D44ACA" w:rsidP="002B51C4">
            <w:pPr>
              <w:spacing w:line="240" w:lineRule="auto"/>
              <w:rPr>
                <w:b/>
                <w:sz w:val="20"/>
              </w:rPr>
            </w:pPr>
            <w:r>
              <w:rPr>
                <w:b/>
                <w:sz w:val="20"/>
              </w:rPr>
              <w:t>Letter grades</w:t>
            </w:r>
          </w:p>
        </w:tc>
      </w:tr>
      <w:tr w:rsidR="00D44ACA" w:rsidRPr="006E3AF2" w14:paraId="45BF3D73" w14:textId="77777777" w:rsidTr="00D44ACA">
        <w:tc>
          <w:tcPr>
            <w:tcW w:w="3100" w:type="dxa"/>
            <w:noWrap/>
            <w:vAlign w:val="center"/>
          </w:tcPr>
          <w:p w14:paraId="337E9600" w14:textId="77777777" w:rsidR="00D44ACA" w:rsidRPr="006E3AF2" w:rsidRDefault="00D44ACA"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420" w:type="dxa"/>
            <w:noWrap/>
          </w:tcPr>
          <w:p w14:paraId="35994C86" w14:textId="77777777" w:rsidR="00D44ACA" w:rsidRDefault="00D44ACA" w:rsidP="002B51C4">
            <w:pPr>
              <w:spacing w:line="240" w:lineRule="auto"/>
              <w:rPr>
                <w:b/>
                <w:sz w:val="20"/>
              </w:rPr>
            </w:pPr>
            <w:bookmarkStart w:id="20" w:name="instr_methods"/>
            <w:bookmarkEnd w:id="20"/>
          </w:p>
          <w:p w14:paraId="1FE5962F" w14:textId="687B1180" w:rsidR="00D44ACA" w:rsidRPr="009F029C" w:rsidRDefault="00D44ACA" w:rsidP="0009737C">
            <w:pPr>
              <w:spacing w:line="240" w:lineRule="auto"/>
              <w:rPr>
                <w:b/>
                <w:sz w:val="20"/>
              </w:rPr>
            </w:pPr>
            <w:r w:rsidRPr="002B51C4">
              <w:rPr>
                <w:b/>
                <w:sz w:val="20"/>
              </w:rPr>
              <w:t>Lecture</w:t>
            </w:r>
            <w:r>
              <w:rPr>
                <w:b/>
                <w:sz w:val="20"/>
              </w:rPr>
              <w:t xml:space="preserve"> and field work </w:t>
            </w:r>
          </w:p>
        </w:tc>
      </w:tr>
      <w:tr w:rsidR="00D44ACA" w:rsidRPr="006E3AF2" w14:paraId="627B913D" w14:textId="77777777" w:rsidTr="00D44ACA">
        <w:tc>
          <w:tcPr>
            <w:tcW w:w="3100" w:type="dxa"/>
            <w:noWrap/>
            <w:vAlign w:val="center"/>
          </w:tcPr>
          <w:p w14:paraId="54A53D57" w14:textId="54181F1C" w:rsidR="00D44ACA" w:rsidRPr="006E3AF2" w:rsidRDefault="00D44ACA"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420" w:type="dxa"/>
            <w:noWrap/>
          </w:tcPr>
          <w:p w14:paraId="130A10E9" w14:textId="77777777" w:rsidR="00D44ACA" w:rsidRPr="0009737C" w:rsidRDefault="00D44ACA" w:rsidP="004C185A">
            <w:pPr>
              <w:spacing w:line="240" w:lineRule="auto"/>
              <w:rPr>
                <w:b/>
                <w:color w:val="FF0000"/>
                <w:sz w:val="20"/>
              </w:rPr>
            </w:pPr>
            <w:bookmarkStart w:id="21" w:name="required"/>
            <w:bookmarkEnd w:id="21"/>
            <w:r w:rsidRPr="0009737C">
              <w:rPr>
                <w:b/>
                <w:color w:val="FF0000"/>
                <w:sz w:val="20"/>
              </w:rPr>
              <w:t xml:space="preserve">Required for proposed CGS in Transition for Youth with </w:t>
            </w:r>
            <w:proofErr w:type="gramStart"/>
            <w:r w:rsidRPr="0009737C">
              <w:rPr>
                <w:b/>
                <w:color w:val="FF0000"/>
                <w:sz w:val="20"/>
              </w:rPr>
              <w:t>Exceptionalities;</w:t>
            </w:r>
            <w:proofErr w:type="gramEnd"/>
            <w:r w:rsidRPr="0009737C">
              <w:rPr>
                <w:b/>
                <w:color w:val="FF0000"/>
                <w:sz w:val="20"/>
              </w:rPr>
              <w:t xml:space="preserve">  </w:t>
            </w:r>
          </w:p>
          <w:p w14:paraId="460254CA" w14:textId="2C0852FA" w:rsidR="00D44ACA" w:rsidRPr="009F029C" w:rsidRDefault="00D44ACA" w:rsidP="004C185A">
            <w:pPr>
              <w:spacing w:line="240" w:lineRule="auto"/>
              <w:rPr>
                <w:b/>
                <w:sz w:val="20"/>
              </w:rPr>
            </w:pPr>
            <w:r>
              <w:rPr>
                <w:b/>
                <w:sz w:val="20"/>
              </w:rPr>
              <w:t xml:space="preserve">Elective for students from related disciplines </w:t>
            </w:r>
            <w:r w:rsidRPr="009F029C">
              <w:rPr>
                <w:b/>
                <w:sz w:val="20"/>
              </w:rPr>
              <w:t xml:space="preserve"> </w:t>
            </w:r>
          </w:p>
        </w:tc>
      </w:tr>
      <w:tr w:rsidR="00D44ACA" w:rsidRPr="006E3AF2" w14:paraId="5D768306" w14:textId="77777777" w:rsidTr="00D44ACA">
        <w:tc>
          <w:tcPr>
            <w:tcW w:w="3100" w:type="dxa"/>
            <w:noWrap/>
            <w:vAlign w:val="center"/>
          </w:tcPr>
          <w:p w14:paraId="387754FB" w14:textId="7EC1B218" w:rsidR="00D44ACA" w:rsidRPr="006E3AF2" w:rsidRDefault="00D44ACA"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420" w:type="dxa"/>
            <w:noWrap/>
          </w:tcPr>
          <w:p w14:paraId="2896F61E" w14:textId="4C59C6A7" w:rsidR="00D44ACA" w:rsidRPr="009F029C" w:rsidRDefault="00D44ACA" w:rsidP="0027634D">
            <w:pPr>
              <w:spacing w:line="240" w:lineRule="auto"/>
              <w:rPr>
                <w:rFonts w:ascii="MS Mincho" w:eastAsia="MS Mincho" w:hAnsi="MS Mincho" w:cs="MS Mincho"/>
                <w:b/>
                <w:sz w:val="20"/>
              </w:rPr>
            </w:pPr>
            <w:bookmarkStart w:id="22" w:name="performance"/>
            <w:bookmarkEnd w:id="22"/>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426CAA13" w14:textId="71F0DB65" w:rsidR="00D44ACA" w:rsidRPr="009F029C" w:rsidRDefault="00D44ACA" w:rsidP="002763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Pr>
                <w:b/>
                <w:sz w:val="20"/>
              </w:rPr>
              <w:t>Fieldwork</w:t>
            </w:r>
            <w:r w:rsidRPr="009F029C">
              <w:rPr>
                <w:b/>
                <w:sz w:val="20"/>
              </w:rPr>
              <w:t xml:space="preserve"> </w:t>
            </w:r>
            <w:r w:rsidRPr="009F029C">
              <w:rPr>
                <w:rFonts w:ascii="MS Mincho" w:eastAsia="MS Mincho" w:hAnsi="MS Mincho" w:cs="MS Mincho"/>
                <w:b/>
                <w:sz w:val="20"/>
              </w:rPr>
              <w:t xml:space="preserve">| </w:t>
            </w:r>
            <w:r w:rsidRPr="009F029C">
              <w:rPr>
                <w:b/>
                <w:sz w:val="20"/>
              </w:rPr>
              <w:t>Quizzes |</w:t>
            </w:r>
          </w:p>
          <w:p w14:paraId="5DC57830" w14:textId="2B26C957" w:rsidR="00D44ACA" w:rsidRPr="009F029C" w:rsidRDefault="00D44ACA" w:rsidP="0027634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7BA0A8BE" w14:textId="0A06CBD3" w:rsidR="00D44ACA" w:rsidRPr="009F029C" w:rsidRDefault="00D44ACA" w:rsidP="00FA769F">
            <w:pPr>
              <w:spacing w:line="240" w:lineRule="auto"/>
              <w:rPr>
                <w:b/>
                <w:sz w:val="20"/>
              </w:rPr>
            </w:pPr>
          </w:p>
        </w:tc>
      </w:tr>
      <w:tr w:rsidR="00D44ACA" w:rsidRPr="006E3AF2" w14:paraId="72B2A61B" w14:textId="77777777" w:rsidTr="00D44ACA">
        <w:tc>
          <w:tcPr>
            <w:tcW w:w="3100" w:type="dxa"/>
            <w:noWrap/>
            <w:vAlign w:val="center"/>
          </w:tcPr>
          <w:p w14:paraId="268D5CB7" w14:textId="73707DDB" w:rsidR="00D44ACA" w:rsidRPr="006E3AF2" w:rsidRDefault="00D44ACA"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420" w:type="dxa"/>
            <w:noWrap/>
          </w:tcPr>
          <w:p w14:paraId="36AF007E" w14:textId="036ED2BE" w:rsidR="00D44ACA" w:rsidRPr="009F029C" w:rsidRDefault="00D44ACA" w:rsidP="00B03028">
            <w:pPr>
              <w:spacing w:line="240" w:lineRule="auto"/>
              <w:rPr>
                <w:b/>
              </w:rPr>
            </w:pPr>
            <w:bookmarkStart w:id="23" w:name="competing"/>
            <w:bookmarkEnd w:id="23"/>
            <w:r>
              <w:rPr>
                <w:b/>
              </w:rPr>
              <w:t>Does not duplicate, but some portions of the content are introduced in existing SPED classes</w:t>
            </w:r>
          </w:p>
        </w:tc>
      </w:tr>
      <w:tr w:rsidR="00D44ACA" w:rsidRPr="006E3AF2" w14:paraId="02198359" w14:textId="77777777" w:rsidTr="00D44ACA">
        <w:trPr>
          <w:gridAfter w:val="1"/>
          <w:wAfter w:w="7420" w:type="dxa"/>
        </w:trPr>
        <w:tc>
          <w:tcPr>
            <w:tcW w:w="3100" w:type="dxa"/>
            <w:noWrap/>
            <w:vAlign w:val="center"/>
          </w:tcPr>
          <w:p w14:paraId="4A9B4CD3" w14:textId="2956B19A" w:rsidR="00D44ACA" w:rsidRPr="006E3AF2" w:rsidRDefault="00D44ACA" w:rsidP="00013152">
            <w:pPr>
              <w:spacing w:line="240" w:lineRule="auto"/>
            </w:pPr>
            <w:r>
              <w:t xml:space="preserve">B. 15. </w:t>
            </w:r>
            <w:r w:rsidRPr="00EC63A4">
              <w:t>Other changes, if any</w:t>
            </w: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73"/>
        <w:gridCol w:w="3727"/>
        <w:gridCol w:w="2780"/>
      </w:tblGrid>
      <w:tr w:rsidR="00623413" w:rsidRPr="00402602" w14:paraId="04B456C7" w14:textId="77777777" w:rsidTr="0009737C">
        <w:trPr>
          <w:cantSplit/>
          <w:tblHeader/>
        </w:trPr>
        <w:tc>
          <w:tcPr>
            <w:tcW w:w="4273" w:type="dxa"/>
          </w:tcPr>
          <w:p w14:paraId="37CE1273" w14:textId="77777777" w:rsidR="00F64260" w:rsidRDefault="00896897" w:rsidP="00BC42EB">
            <w:pPr>
              <w:spacing w:line="240" w:lineRule="auto"/>
              <w:rPr>
                <w:rStyle w:val="Hyperlink"/>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p w14:paraId="41F5F3C5" w14:textId="77777777" w:rsidR="00BE55B7" w:rsidRPr="00BE55B7" w:rsidRDefault="00BE55B7" w:rsidP="00BC42EB">
            <w:pPr>
              <w:spacing w:line="240" w:lineRule="auto"/>
              <w:rPr>
                <w:rStyle w:val="Hyperlink"/>
                <w:b/>
                <w:color w:val="auto"/>
                <w:u w:val="none"/>
              </w:rPr>
            </w:pPr>
          </w:p>
          <w:p w14:paraId="08F83F6A" w14:textId="0CD095E8" w:rsidR="00B03028" w:rsidRPr="00402602" w:rsidRDefault="00B03028" w:rsidP="007F6EBB">
            <w:pPr>
              <w:spacing w:line="240" w:lineRule="auto"/>
              <w:rPr>
                <w:b/>
              </w:rPr>
            </w:pPr>
          </w:p>
        </w:tc>
        <w:tc>
          <w:tcPr>
            <w:tcW w:w="3727" w:type="dxa"/>
          </w:tcPr>
          <w:p w14:paraId="7F173560" w14:textId="77777777" w:rsidR="00F64260" w:rsidRDefault="00652ADB" w:rsidP="00BC42EB">
            <w:pPr>
              <w:spacing w:line="240" w:lineRule="auto"/>
              <w:rPr>
                <w:rStyle w:val="Hyperlink"/>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p w14:paraId="3867B23D" w14:textId="77777777" w:rsidR="00B03028" w:rsidRDefault="00B03028" w:rsidP="00BC42EB">
            <w:pPr>
              <w:spacing w:line="240" w:lineRule="auto"/>
              <w:rPr>
                <w:rStyle w:val="Hyperlink"/>
                <w:b/>
              </w:rPr>
            </w:pPr>
          </w:p>
          <w:p w14:paraId="36A56C9F" w14:textId="6D65073F" w:rsidR="00B03028" w:rsidRPr="00BE55B7" w:rsidRDefault="00B03028" w:rsidP="00BC42EB">
            <w:pPr>
              <w:spacing w:line="240" w:lineRule="auto"/>
              <w:rPr>
                <w:b/>
              </w:rPr>
            </w:pPr>
            <w:r w:rsidRPr="00BE55B7">
              <w:rPr>
                <w:rStyle w:val="Hyperlink"/>
                <w:b/>
                <w:color w:val="auto"/>
                <w:sz w:val="20"/>
                <w:u w:val="none"/>
              </w:rPr>
              <w:t xml:space="preserve">CEC </w:t>
            </w:r>
            <w:r w:rsidR="00BE55B7" w:rsidRPr="00BE55B7">
              <w:rPr>
                <w:rStyle w:val="Hyperlink"/>
                <w:b/>
                <w:color w:val="auto"/>
                <w:sz w:val="20"/>
                <w:u w:val="none"/>
              </w:rPr>
              <w:t xml:space="preserve">and FSEHD Outcomes </w:t>
            </w:r>
            <w:r w:rsidRPr="00BE55B7">
              <w:rPr>
                <w:rStyle w:val="Hyperlink"/>
                <w:b/>
                <w:color w:val="auto"/>
                <w:sz w:val="20"/>
                <w:u w:val="none"/>
              </w:rPr>
              <w:t>alignment</w:t>
            </w:r>
          </w:p>
        </w:tc>
        <w:tc>
          <w:tcPr>
            <w:tcW w:w="2780" w:type="dxa"/>
          </w:tcPr>
          <w:p w14:paraId="04364678" w14:textId="77777777" w:rsidR="00F64260" w:rsidRDefault="00652ADB" w:rsidP="00BC42EB">
            <w:pPr>
              <w:spacing w:line="240" w:lineRule="auto"/>
              <w:rPr>
                <w:rStyle w:val="Hyperlink"/>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p w14:paraId="0344E290" w14:textId="3913A6E2" w:rsidR="00B03028" w:rsidRPr="00402602" w:rsidRDefault="00B03028" w:rsidP="0009737C">
            <w:pPr>
              <w:spacing w:line="240" w:lineRule="auto"/>
              <w:rPr>
                <w:b/>
              </w:rPr>
            </w:pPr>
          </w:p>
        </w:tc>
      </w:tr>
      <w:tr w:rsidR="002A5391" w14:paraId="7B7D4A96" w14:textId="77777777" w:rsidTr="0009737C">
        <w:trPr>
          <w:cantSplit/>
        </w:trPr>
        <w:tc>
          <w:tcPr>
            <w:tcW w:w="4273" w:type="dxa"/>
          </w:tcPr>
          <w:p w14:paraId="1571C712" w14:textId="77777777" w:rsidR="00F64260" w:rsidRDefault="00F64260">
            <w:pPr>
              <w:spacing w:line="240" w:lineRule="auto"/>
            </w:pPr>
            <w:bookmarkStart w:id="24" w:name="outcomes"/>
            <w:bookmarkEnd w:id="24"/>
          </w:p>
        </w:tc>
        <w:tc>
          <w:tcPr>
            <w:tcW w:w="3727" w:type="dxa"/>
          </w:tcPr>
          <w:p w14:paraId="48EEBF8B" w14:textId="77777777" w:rsidR="00F64260" w:rsidRDefault="00F64260">
            <w:pPr>
              <w:spacing w:line="240" w:lineRule="auto"/>
            </w:pPr>
            <w:bookmarkStart w:id="25" w:name="standards"/>
            <w:bookmarkEnd w:id="25"/>
          </w:p>
        </w:tc>
        <w:tc>
          <w:tcPr>
            <w:tcW w:w="2780" w:type="dxa"/>
          </w:tcPr>
          <w:p w14:paraId="0A370311" w14:textId="77777777" w:rsidR="00F64260" w:rsidRDefault="00F64260">
            <w:pPr>
              <w:spacing w:line="240" w:lineRule="auto"/>
            </w:pPr>
            <w:bookmarkStart w:id="26" w:name="measured"/>
            <w:bookmarkEnd w:id="26"/>
          </w:p>
        </w:tc>
      </w:tr>
      <w:tr w:rsidR="002A5391" w14:paraId="73043584" w14:textId="77777777" w:rsidTr="0009737C">
        <w:trPr>
          <w:cantSplit/>
        </w:trPr>
        <w:tc>
          <w:tcPr>
            <w:tcW w:w="4273" w:type="dxa"/>
          </w:tcPr>
          <w:p w14:paraId="10A34B2A" w14:textId="05670EF9" w:rsidR="00F64260" w:rsidRDefault="0025435F">
            <w:pPr>
              <w:spacing w:line="240" w:lineRule="auto"/>
            </w:pPr>
            <w:r w:rsidRPr="00C63D52">
              <w:rPr>
                <w:rFonts w:asciiTheme="minorHAnsi" w:hAnsiTheme="minorHAnsi"/>
                <w:color w:val="000000"/>
              </w:rPr>
              <w:t>Demonstrate an understanding of how the theories, practices and beliefs about individuals wit</w:t>
            </w:r>
            <w:r w:rsidR="00A91F56">
              <w:rPr>
                <w:rFonts w:asciiTheme="minorHAnsi" w:hAnsiTheme="minorHAnsi"/>
                <w:color w:val="000000"/>
              </w:rPr>
              <w:t>h exceptionali</w:t>
            </w:r>
            <w:r w:rsidRPr="00C63D52">
              <w:rPr>
                <w:rFonts w:asciiTheme="minorHAnsi" w:hAnsiTheme="minorHAnsi"/>
                <w:color w:val="000000"/>
              </w:rPr>
              <w:t xml:space="preserve">ties have changed over time, and how these changes </w:t>
            </w:r>
            <w:proofErr w:type="gramStart"/>
            <w:r w:rsidRPr="00C63D52">
              <w:rPr>
                <w:rFonts w:asciiTheme="minorHAnsi" w:hAnsiTheme="minorHAnsi"/>
                <w:color w:val="000000"/>
              </w:rPr>
              <w:t>impact  self</w:t>
            </w:r>
            <w:proofErr w:type="gramEnd"/>
            <w:r w:rsidRPr="00C63D52">
              <w:rPr>
                <w:rFonts w:asciiTheme="minorHAnsi" w:hAnsiTheme="minorHAnsi"/>
                <w:color w:val="000000"/>
              </w:rPr>
              <w:t>-determination, education, employment and inclusion across the life span</w:t>
            </w:r>
          </w:p>
        </w:tc>
        <w:tc>
          <w:tcPr>
            <w:tcW w:w="3727" w:type="dxa"/>
          </w:tcPr>
          <w:p w14:paraId="5BE697D6" w14:textId="1C73E2B3" w:rsidR="0025435F" w:rsidRPr="00AD1732" w:rsidRDefault="0025435F" w:rsidP="0025435F">
            <w:pPr>
              <w:pStyle w:val="NormalWeb"/>
              <w:rPr>
                <w:rFonts w:asciiTheme="minorHAnsi" w:hAnsiTheme="minorHAnsi"/>
                <w:sz w:val="22"/>
                <w:szCs w:val="22"/>
              </w:rPr>
            </w:pPr>
            <w:r>
              <w:rPr>
                <w:rFonts w:asciiTheme="minorHAnsi" w:hAnsiTheme="minorHAnsi"/>
                <w:sz w:val="22"/>
                <w:szCs w:val="22"/>
              </w:rPr>
              <w:t xml:space="preserve">FSEHD: </w:t>
            </w:r>
            <w:r w:rsidRPr="00AD1732">
              <w:rPr>
                <w:rFonts w:asciiTheme="minorHAnsi" w:hAnsiTheme="minorHAnsi"/>
                <w:sz w:val="22"/>
                <w:szCs w:val="22"/>
              </w:rPr>
              <w:t xml:space="preserve">Knowledge: Domain-Specific </w:t>
            </w:r>
            <w:proofErr w:type="gramStart"/>
            <w:r w:rsidRPr="00AD1732">
              <w:rPr>
                <w:rFonts w:asciiTheme="minorHAnsi" w:hAnsiTheme="minorHAnsi"/>
                <w:sz w:val="22"/>
                <w:szCs w:val="22"/>
              </w:rPr>
              <w:t>Knowledge,  Contextual</w:t>
            </w:r>
            <w:proofErr w:type="gramEnd"/>
            <w:r w:rsidRPr="00AD1732">
              <w:rPr>
                <w:rFonts w:asciiTheme="minorHAnsi" w:hAnsiTheme="minorHAnsi"/>
                <w:sz w:val="22"/>
                <w:szCs w:val="22"/>
              </w:rPr>
              <w:t xml:space="preserve"> Perspective</w:t>
            </w:r>
          </w:p>
          <w:p w14:paraId="24CCC153" w14:textId="6F833EA3" w:rsidR="00F64260" w:rsidRDefault="0025435F" w:rsidP="0025435F">
            <w:pPr>
              <w:spacing w:line="240" w:lineRule="auto"/>
              <w:rPr>
                <w:rFonts w:asciiTheme="minorHAnsi" w:hAnsiTheme="minorHAnsi"/>
              </w:rPr>
            </w:pPr>
            <w:r w:rsidRPr="00AD1732">
              <w:rPr>
                <w:rFonts w:asciiTheme="minorHAnsi" w:hAnsiTheme="minorHAnsi"/>
              </w:rPr>
              <w:t xml:space="preserve">Practice: </w:t>
            </w:r>
            <w:r>
              <w:rPr>
                <w:rFonts w:asciiTheme="minorHAnsi" w:hAnsiTheme="minorHAnsi"/>
              </w:rPr>
              <w:t xml:space="preserve"> </w:t>
            </w:r>
            <w:r w:rsidRPr="00AD1732">
              <w:rPr>
                <w:rFonts w:asciiTheme="minorHAnsi" w:hAnsiTheme="minorHAnsi"/>
              </w:rPr>
              <w:t xml:space="preserve">Professional Identity </w:t>
            </w:r>
            <w:proofErr w:type="gramStart"/>
            <w:r w:rsidRPr="00AD1732">
              <w:rPr>
                <w:rFonts w:asciiTheme="minorHAnsi" w:hAnsiTheme="minorHAnsi"/>
              </w:rPr>
              <w:t>Development,  Diversity</w:t>
            </w:r>
            <w:proofErr w:type="gramEnd"/>
            <w:r w:rsidRPr="00AD1732">
              <w:rPr>
                <w:rFonts w:asciiTheme="minorHAnsi" w:hAnsiTheme="minorHAnsi"/>
              </w:rPr>
              <w:t xml:space="preserve"> of Practice</w:t>
            </w:r>
          </w:p>
          <w:p w14:paraId="5E214DE4" w14:textId="77777777" w:rsidR="0025435F" w:rsidRDefault="0025435F" w:rsidP="0025435F">
            <w:pPr>
              <w:spacing w:line="240" w:lineRule="auto"/>
              <w:rPr>
                <w:rFonts w:asciiTheme="minorHAnsi" w:hAnsiTheme="minorHAnsi"/>
              </w:rPr>
            </w:pPr>
          </w:p>
          <w:p w14:paraId="638748AC" w14:textId="371DC476" w:rsidR="0025435F" w:rsidRPr="00344FED" w:rsidRDefault="0025435F" w:rsidP="0025435F">
            <w:pPr>
              <w:spacing w:line="240" w:lineRule="auto"/>
              <w:rPr>
                <w:rFonts w:asciiTheme="minorHAnsi" w:hAnsiTheme="minorHAnsi"/>
                <w:color w:val="000000"/>
              </w:rPr>
            </w:pPr>
            <w:r>
              <w:rPr>
                <w:rFonts w:asciiTheme="minorHAnsi" w:hAnsiTheme="minorHAnsi"/>
              </w:rPr>
              <w:t xml:space="preserve">CEC: </w:t>
            </w:r>
            <w:r>
              <w:rPr>
                <w:rFonts w:asciiTheme="minorHAnsi" w:hAnsiTheme="minorHAnsi"/>
                <w:color w:val="000000"/>
              </w:rPr>
              <w:t xml:space="preserve">  </w:t>
            </w:r>
            <w:r w:rsidRPr="00AD1732">
              <w:rPr>
                <w:rFonts w:asciiTheme="minorHAnsi" w:hAnsiTheme="minorHAnsi"/>
                <w:color w:val="000000"/>
              </w:rPr>
              <w:t>SETRS.</w:t>
            </w:r>
            <w:proofErr w:type="gramStart"/>
            <w:r w:rsidRPr="00AD1732">
              <w:rPr>
                <w:rFonts w:asciiTheme="minorHAnsi" w:hAnsiTheme="minorHAnsi"/>
                <w:color w:val="000000"/>
              </w:rPr>
              <w:t>5.K</w:t>
            </w:r>
            <w:proofErr w:type="gramEnd"/>
            <w:r w:rsidRPr="00AD1732">
              <w:rPr>
                <w:rFonts w:asciiTheme="minorHAnsi" w:hAnsiTheme="minorHAnsi"/>
                <w:color w:val="000000"/>
              </w:rPr>
              <w:t>1</w:t>
            </w:r>
            <w:r w:rsidR="0009737C">
              <w:rPr>
                <w:rFonts w:asciiTheme="minorHAnsi" w:hAnsiTheme="minorHAnsi"/>
                <w:color w:val="000000"/>
              </w:rPr>
              <w:t xml:space="preserve">; </w:t>
            </w:r>
            <w:r w:rsidR="0009737C" w:rsidRPr="00AD1732">
              <w:rPr>
                <w:rFonts w:asciiTheme="minorHAnsi" w:eastAsiaTheme="minorHAnsi" w:hAnsiTheme="minorHAnsi"/>
                <w:color w:val="000000"/>
              </w:rPr>
              <w:t>SETRS.7.S1</w:t>
            </w:r>
          </w:p>
        </w:tc>
        <w:tc>
          <w:tcPr>
            <w:tcW w:w="2780" w:type="dxa"/>
          </w:tcPr>
          <w:p w14:paraId="57FBD416" w14:textId="3304D2C4" w:rsidR="00CE22D8" w:rsidRDefault="00CE22D8" w:rsidP="007F6EBB">
            <w:pPr>
              <w:widowControl w:val="0"/>
            </w:pPr>
            <w:r>
              <w:rPr>
                <w:rFonts w:asciiTheme="minorHAnsi" w:hAnsiTheme="minorHAnsi"/>
                <w:color w:val="000000"/>
              </w:rPr>
              <w:t>Exam</w:t>
            </w:r>
          </w:p>
        </w:tc>
      </w:tr>
      <w:tr w:rsidR="002A5391" w14:paraId="373F39F0" w14:textId="77777777" w:rsidTr="0009737C">
        <w:trPr>
          <w:cantSplit/>
        </w:trPr>
        <w:tc>
          <w:tcPr>
            <w:tcW w:w="4273" w:type="dxa"/>
          </w:tcPr>
          <w:p w14:paraId="03860DE1" w14:textId="321181C7" w:rsidR="00F64260" w:rsidRDefault="007F6EBB" w:rsidP="00F571C7">
            <w:pPr>
              <w:spacing w:line="240" w:lineRule="auto"/>
            </w:pPr>
            <w:r w:rsidRPr="00C63D52">
              <w:rPr>
                <w:rFonts w:asciiTheme="minorHAnsi" w:hAnsiTheme="minorHAnsi"/>
                <w:color w:val="000000"/>
              </w:rPr>
              <w:lastRenderedPageBreak/>
              <w:t>Demonstrate an understanding of self-determination, including the practices and supports that facilitate self-determination in individuals with</w:t>
            </w:r>
            <w:r w:rsidR="00F571C7">
              <w:rPr>
                <w:rFonts w:asciiTheme="minorHAnsi" w:hAnsiTheme="minorHAnsi"/>
                <w:color w:val="000000"/>
              </w:rPr>
              <w:t xml:space="preserve"> </w:t>
            </w:r>
            <w:r w:rsidR="00A91F56">
              <w:rPr>
                <w:rFonts w:asciiTheme="minorHAnsi" w:hAnsiTheme="minorHAnsi"/>
                <w:color w:val="000000"/>
              </w:rPr>
              <w:t>exceptionalities</w:t>
            </w:r>
            <w:r w:rsidR="00F571C7">
              <w:rPr>
                <w:rFonts w:asciiTheme="minorHAnsi" w:hAnsiTheme="minorHAnsi"/>
                <w:color w:val="000000"/>
              </w:rPr>
              <w:t xml:space="preserve"> across contexts, and </w:t>
            </w:r>
            <w:r w:rsidRPr="00C63D52">
              <w:rPr>
                <w:rFonts w:asciiTheme="minorHAnsi" w:hAnsiTheme="minorHAnsi"/>
                <w:color w:val="000000"/>
              </w:rPr>
              <w:t>the role that students, families and school personnel have in fostering self-determination</w:t>
            </w:r>
          </w:p>
        </w:tc>
        <w:tc>
          <w:tcPr>
            <w:tcW w:w="3727" w:type="dxa"/>
          </w:tcPr>
          <w:p w14:paraId="083DF1D9" w14:textId="77777777" w:rsidR="007F6EBB" w:rsidRDefault="007F6EBB" w:rsidP="007F6EBB">
            <w:pPr>
              <w:spacing w:line="240" w:lineRule="auto"/>
            </w:pPr>
            <w:r>
              <w:t>FSEHD:</w:t>
            </w:r>
          </w:p>
          <w:p w14:paraId="5BA4C8DB" w14:textId="4B73D86A" w:rsidR="007F6EBB" w:rsidRPr="007F6EBB" w:rsidRDefault="007F6EBB" w:rsidP="007F6EBB">
            <w:pPr>
              <w:spacing w:line="240" w:lineRule="auto"/>
            </w:pPr>
            <w:r w:rsidRPr="00AD1732">
              <w:rPr>
                <w:rFonts w:asciiTheme="minorHAnsi" w:hAnsiTheme="minorHAnsi"/>
              </w:rPr>
              <w:t xml:space="preserve">Knowledge: Domain-Specific </w:t>
            </w:r>
            <w:proofErr w:type="gramStart"/>
            <w:r w:rsidRPr="00AD1732">
              <w:rPr>
                <w:rFonts w:asciiTheme="minorHAnsi" w:hAnsiTheme="minorHAnsi"/>
              </w:rPr>
              <w:t>Knowledge,  Contextual</w:t>
            </w:r>
            <w:proofErr w:type="gramEnd"/>
            <w:r w:rsidRPr="00AD1732">
              <w:rPr>
                <w:rFonts w:asciiTheme="minorHAnsi" w:hAnsiTheme="minorHAnsi"/>
              </w:rPr>
              <w:t xml:space="preserve"> Perspective</w:t>
            </w:r>
          </w:p>
          <w:p w14:paraId="36423865" w14:textId="77777777" w:rsidR="007F6EBB" w:rsidRDefault="007F6EBB" w:rsidP="007F6EBB">
            <w:pPr>
              <w:spacing w:line="240" w:lineRule="auto"/>
              <w:rPr>
                <w:rFonts w:asciiTheme="minorHAnsi" w:hAnsiTheme="minorHAnsi"/>
              </w:rPr>
            </w:pPr>
          </w:p>
          <w:p w14:paraId="257A4506" w14:textId="77777777" w:rsidR="007F6EBB" w:rsidRDefault="007F6EBB" w:rsidP="007F6EBB">
            <w:pPr>
              <w:spacing w:line="240" w:lineRule="auto"/>
              <w:rPr>
                <w:rFonts w:asciiTheme="minorHAnsi" w:hAnsiTheme="minorHAnsi"/>
              </w:rPr>
            </w:pPr>
            <w:r w:rsidRPr="00AD1732">
              <w:rPr>
                <w:rFonts w:asciiTheme="minorHAnsi" w:hAnsiTheme="minorHAnsi"/>
              </w:rPr>
              <w:t xml:space="preserve">Practice: Evidence Based Decision Making, Professional Identity </w:t>
            </w:r>
            <w:proofErr w:type="gramStart"/>
            <w:r w:rsidRPr="00AD1732">
              <w:rPr>
                <w:rFonts w:asciiTheme="minorHAnsi" w:hAnsiTheme="minorHAnsi"/>
              </w:rPr>
              <w:t>Development,  Diversity</w:t>
            </w:r>
            <w:proofErr w:type="gramEnd"/>
            <w:r w:rsidRPr="00AD1732">
              <w:rPr>
                <w:rFonts w:asciiTheme="minorHAnsi" w:hAnsiTheme="minorHAnsi"/>
              </w:rPr>
              <w:t xml:space="preserve"> of Practice</w:t>
            </w:r>
          </w:p>
          <w:p w14:paraId="5EB6B1D9" w14:textId="77777777" w:rsidR="007F6EBB" w:rsidRDefault="007F6EBB" w:rsidP="007F6EBB">
            <w:pPr>
              <w:spacing w:line="240" w:lineRule="auto"/>
              <w:rPr>
                <w:rFonts w:asciiTheme="minorHAnsi" w:hAnsiTheme="minorHAnsi"/>
              </w:rPr>
            </w:pPr>
          </w:p>
          <w:p w14:paraId="349D81AD" w14:textId="7E709E05" w:rsidR="007F6EBB" w:rsidRDefault="007F6EBB" w:rsidP="00344FED">
            <w:pPr>
              <w:spacing w:line="240" w:lineRule="auto"/>
              <w:rPr>
                <w:rFonts w:asciiTheme="minorHAnsi" w:hAnsiTheme="minorHAnsi"/>
                <w:color w:val="000000"/>
              </w:rPr>
            </w:pPr>
            <w:r>
              <w:rPr>
                <w:rFonts w:asciiTheme="minorHAnsi" w:hAnsiTheme="minorHAnsi"/>
              </w:rPr>
              <w:t xml:space="preserve">CEC: </w:t>
            </w:r>
            <w:r w:rsidR="00344FED">
              <w:rPr>
                <w:rFonts w:asciiTheme="minorHAnsi" w:hAnsiTheme="minorHAnsi"/>
              </w:rPr>
              <w:t xml:space="preserve"> </w:t>
            </w:r>
            <w:r w:rsidRPr="00AD1732">
              <w:rPr>
                <w:rFonts w:asciiTheme="minorHAnsi" w:hAnsiTheme="minorHAnsi"/>
                <w:color w:val="000000"/>
              </w:rPr>
              <w:t>SETRS.</w:t>
            </w:r>
            <w:proofErr w:type="gramStart"/>
            <w:r w:rsidRPr="00AD1732">
              <w:rPr>
                <w:rFonts w:asciiTheme="minorHAnsi" w:hAnsiTheme="minorHAnsi"/>
                <w:color w:val="000000"/>
              </w:rPr>
              <w:t>7.K</w:t>
            </w:r>
            <w:proofErr w:type="gramEnd"/>
            <w:r w:rsidRPr="00AD1732">
              <w:rPr>
                <w:rFonts w:asciiTheme="minorHAnsi" w:hAnsiTheme="minorHAnsi"/>
                <w:color w:val="000000"/>
              </w:rPr>
              <w:t>3</w:t>
            </w:r>
            <w:r w:rsidR="00344FED">
              <w:rPr>
                <w:rFonts w:asciiTheme="minorHAnsi" w:hAnsiTheme="minorHAnsi"/>
                <w:color w:val="000000"/>
              </w:rPr>
              <w:t xml:space="preserve">, </w:t>
            </w:r>
            <w:r w:rsidRPr="00AD1732">
              <w:rPr>
                <w:rFonts w:asciiTheme="minorHAnsi" w:hAnsiTheme="minorHAnsi"/>
                <w:color w:val="000000"/>
              </w:rPr>
              <w:t>SETRS.7.K2</w:t>
            </w:r>
            <w:r w:rsidR="00344FED">
              <w:rPr>
                <w:rFonts w:asciiTheme="minorHAnsi" w:hAnsiTheme="minorHAnsi"/>
                <w:color w:val="000000"/>
              </w:rPr>
              <w:t>,</w:t>
            </w:r>
          </w:p>
          <w:p w14:paraId="48CF2D35" w14:textId="446A8038" w:rsidR="007F6EBB" w:rsidRPr="007F6EBB" w:rsidRDefault="007F6EBB" w:rsidP="00344FED">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SETRS.</w:t>
            </w:r>
            <w:proofErr w:type="gramStart"/>
            <w:r>
              <w:rPr>
                <w:rFonts w:asciiTheme="minorHAnsi" w:hAnsiTheme="minorHAnsi"/>
                <w:color w:val="000000"/>
                <w:sz w:val="22"/>
                <w:szCs w:val="22"/>
              </w:rPr>
              <w:t>7.S</w:t>
            </w:r>
            <w:proofErr w:type="gramEnd"/>
            <w:r>
              <w:rPr>
                <w:rFonts w:asciiTheme="minorHAnsi" w:hAnsiTheme="minorHAnsi"/>
                <w:color w:val="000000"/>
                <w:sz w:val="22"/>
                <w:szCs w:val="22"/>
              </w:rPr>
              <w:t>1</w:t>
            </w:r>
          </w:p>
        </w:tc>
        <w:tc>
          <w:tcPr>
            <w:tcW w:w="2780" w:type="dxa"/>
          </w:tcPr>
          <w:p w14:paraId="4F061422" w14:textId="51DA18E6" w:rsidR="00F64260" w:rsidRDefault="00F571C7" w:rsidP="00344FED">
            <w:pPr>
              <w:widowControl w:val="0"/>
            </w:pPr>
            <w:r>
              <w:rPr>
                <w:rFonts w:asciiTheme="minorHAnsi" w:hAnsiTheme="minorHAnsi"/>
                <w:color w:val="000000"/>
              </w:rPr>
              <w:t>Self Determination Assessment,</w:t>
            </w:r>
            <w:r w:rsidR="00344FED">
              <w:rPr>
                <w:rFonts w:asciiTheme="minorHAnsi" w:hAnsiTheme="minorHAnsi"/>
                <w:color w:val="000000"/>
              </w:rPr>
              <w:t xml:space="preserve"> </w:t>
            </w:r>
            <w:r>
              <w:rPr>
                <w:rFonts w:asciiTheme="minorHAnsi" w:hAnsiTheme="minorHAnsi"/>
                <w:color w:val="000000"/>
              </w:rPr>
              <w:t>E</w:t>
            </w:r>
            <w:r w:rsidR="00CE22D8">
              <w:rPr>
                <w:rFonts w:asciiTheme="minorHAnsi" w:hAnsiTheme="minorHAnsi"/>
                <w:color w:val="000000"/>
              </w:rPr>
              <w:t>xam</w:t>
            </w:r>
          </w:p>
        </w:tc>
      </w:tr>
      <w:tr w:rsidR="007F6EBB" w14:paraId="20EBFBFE" w14:textId="77777777" w:rsidTr="0009737C">
        <w:trPr>
          <w:cantSplit/>
        </w:trPr>
        <w:tc>
          <w:tcPr>
            <w:tcW w:w="4273" w:type="dxa"/>
          </w:tcPr>
          <w:p w14:paraId="76785458" w14:textId="1EBAE118" w:rsidR="007F6EBB" w:rsidRPr="00C63D52" w:rsidRDefault="007F6EBB" w:rsidP="00F571C7">
            <w:pPr>
              <w:spacing w:line="240" w:lineRule="auto"/>
              <w:rPr>
                <w:rFonts w:asciiTheme="minorHAnsi" w:hAnsiTheme="minorHAnsi"/>
                <w:color w:val="000000"/>
              </w:rPr>
            </w:pPr>
            <w:r w:rsidRPr="00C63D52">
              <w:rPr>
                <w:rFonts w:asciiTheme="minorHAnsi" w:hAnsiTheme="minorHAnsi"/>
                <w:color w:val="000000"/>
              </w:rPr>
              <w:t>Demonstrate an understanding of the different ways disability impacts the lives of individuals across all domains including education, employment, community participation, health care, independent living, finances and fam</w:t>
            </w:r>
            <w:r w:rsidR="00F571C7">
              <w:rPr>
                <w:rFonts w:asciiTheme="minorHAnsi" w:hAnsiTheme="minorHAnsi"/>
                <w:color w:val="000000"/>
              </w:rPr>
              <w:t xml:space="preserve">ily and intimate relationship, and how </w:t>
            </w:r>
            <w:proofErr w:type="gramStart"/>
            <w:r w:rsidRPr="00C63D52">
              <w:rPr>
                <w:rFonts w:asciiTheme="minorHAnsi" w:hAnsiTheme="minorHAnsi"/>
                <w:color w:val="000000"/>
              </w:rPr>
              <w:t>type  of</w:t>
            </w:r>
            <w:proofErr w:type="gramEnd"/>
            <w:r w:rsidRPr="00C63D52">
              <w:rPr>
                <w:rFonts w:asciiTheme="minorHAnsi" w:hAnsiTheme="minorHAnsi"/>
                <w:color w:val="000000"/>
              </w:rPr>
              <w:t xml:space="preserve"> disability and severity impacts these domains</w:t>
            </w:r>
          </w:p>
        </w:tc>
        <w:tc>
          <w:tcPr>
            <w:tcW w:w="3727" w:type="dxa"/>
          </w:tcPr>
          <w:p w14:paraId="752D8692" w14:textId="77777777" w:rsidR="00623413" w:rsidRDefault="00623413" w:rsidP="00623413">
            <w:pPr>
              <w:spacing w:line="240" w:lineRule="auto"/>
            </w:pPr>
            <w:r>
              <w:t xml:space="preserve">FSEHD: </w:t>
            </w:r>
          </w:p>
          <w:p w14:paraId="40B665A0" w14:textId="6B88ABA3" w:rsidR="007F6EBB" w:rsidRDefault="007F6EBB" w:rsidP="00623413">
            <w:pPr>
              <w:spacing w:line="240" w:lineRule="auto"/>
              <w:rPr>
                <w:rFonts w:asciiTheme="minorHAnsi" w:hAnsiTheme="minorHAnsi"/>
              </w:rPr>
            </w:pPr>
            <w:r w:rsidRPr="00AD1732">
              <w:rPr>
                <w:rFonts w:asciiTheme="minorHAnsi" w:hAnsiTheme="minorHAnsi"/>
              </w:rPr>
              <w:t xml:space="preserve">Knowledge: Domain-Specific </w:t>
            </w:r>
            <w:proofErr w:type="gramStart"/>
            <w:r w:rsidRPr="00AD1732">
              <w:rPr>
                <w:rFonts w:asciiTheme="minorHAnsi" w:hAnsiTheme="minorHAnsi"/>
              </w:rPr>
              <w:t>Knowledge,  Contextual</w:t>
            </w:r>
            <w:proofErr w:type="gramEnd"/>
            <w:r w:rsidRPr="00AD1732">
              <w:rPr>
                <w:rFonts w:asciiTheme="minorHAnsi" w:hAnsiTheme="minorHAnsi"/>
              </w:rPr>
              <w:t xml:space="preserve"> Perspective</w:t>
            </w:r>
          </w:p>
          <w:p w14:paraId="38A6685C" w14:textId="77777777" w:rsidR="00623413" w:rsidRPr="00623413" w:rsidRDefault="00623413" w:rsidP="00623413">
            <w:pPr>
              <w:spacing w:line="240" w:lineRule="auto"/>
            </w:pPr>
          </w:p>
          <w:p w14:paraId="7F94810C" w14:textId="77777777" w:rsidR="007F6EBB" w:rsidRDefault="007F6EBB" w:rsidP="007F6EBB">
            <w:pPr>
              <w:spacing w:line="240" w:lineRule="auto"/>
              <w:rPr>
                <w:rFonts w:asciiTheme="minorHAnsi" w:hAnsiTheme="minorHAnsi"/>
              </w:rPr>
            </w:pPr>
            <w:r w:rsidRPr="00AD1732">
              <w:rPr>
                <w:rFonts w:asciiTheme="minorHAnsi" w:hAnsiTheme="minorHAnsi"/>
              </w:rPr>
              <w:t xml:space="preserve">Practice: Professional Identity </w:t>
            </w:r>
            <w:proofErr w:type="gramStart"/>
            <w:r w:rsidRPr="00AD1732">
              <w:rPr>
                <w:rFonts w:asciiTheme="minorHAnsi" w:hAnsiTheme="minorHAnsi"/>
              </w:rPr>
              <w:t>Development,  Diversity</w:t>
            </w:r>
            <w:proofErr w:type="gramEnd"/>
            <w:r w:rsidRPr="00AD1732">
              <w:rPr>
                <w:rFonts w:asciiTheme="minorHAnsi" w:hAnsiTheme="minorHAnsi"/>
              </w:rPr>
              <w:t xml:space="preserve"> of Practice</w:t>
            </w:r>
          </w:p>
          <w:p w14:paraId="7F27A8BC" w14:textId="77777777" w:rsidR="007F6EBB" w:rsidRDefault="007F6EBB" w:rsidP="007F6EBB">
            <w:pPr>
              <w:spacing w:line="240" w:lineRule="auto"/>
              <w:rPr>
                <w:rFonts w:asciiTheme="minorHAnsi" w:hAnsiTheme="minorHAnsi"/>
              </w:rPr>
            </w:pPr>
          </w:p>
          <w:p w14:paraId="0148A1F8" w14:textId="13C5727A" w:rsidR="007F6EBB" w:rsidRDefault="007F6EBB" w:rsidP="00A91F56">
            <w:pPr>
              <w:spacing w:line="240" w:lineRule="auto"/>
            </w:pPr>
            <w:r>
              <w:rPr>
                <w:rFonts w:asciiTheme="minorHAnsi" w:hAnsiTheme="minorHAnsi"/>
              </w:rPr>
              <w:t xml:space="preserve">CEC: </w:t>
            </w:r>
            <w:r w:rsidR="00A91F56">
              <w:rPr>
                <w:rFonts w:asciiTheme="minorHAnsi" w:hAnsiTheme="minorHAnsi"/>
              </w:rPr>
              <w:t xml:space="preserve"> </w:t>
            </w:r>
            <w:r w:rsidRPr="00C63D52">
              <w:rPr>
                <w:rFonts w:asciiTheme="minorHAnsi" w:hAnsiTheme="minorHAnsi"/>
                <w:color w:val="000000"/>
              </w:rPr>
              <w:t>SETRS.</w:t>
            </w:r>
            <w:proofErr w:type="gramStart"/>
            <w:r w:rsidRPr="00C63D52">
              <w:rPr>
                <w:rFonts w:asciiTheme="minorHAnsi" w:hAnsiTheme="minorHAnsi"/>
                <w:color w:val="000000"/>
              </w:rPr>
              <w:t>7.K</w:t>
            </w:r>
            <w:proofErr w:type="gramEnd"/>
            <w:r w:rsidRPr="00C63D52">
              <w:rPr>
                <w:rFonts w:asciiTheme="minorHAnsi" w:hAnsiTheme="minorHAnsi"/>
                <w:color w:val="000000"/>
              </w:rPr>
              <w:t>3</w:t>
            </w:r>
          </w:p>
        </w:tc>
        <w:tc>
          <w:tcPr>
            <w:tcW w:w="2780" w:type="dxa"/>
          </w:tcPr>
          <w:p w14:paraId="7A30B2A0" w14:textId="6A77CFED" w:rsidR="007F6EBB" w:rsidRDefault="007F6EBB" w:rsidP="007F6EBB">
            <w:pPr>
              <w:widowControl w:val="0"/>
              <w:rPr>
                <w:rFonts w:asciiTheme="minorHAnsi" w:hAnsiTheme="minorHAnsi"/>
                <w:color w:val="000000"/>
              </w:rPr>
            </w:pPr>
            <w:r>
              <w:rPr>
                <w:rFonts w:asciiTheme="minorHAnsi" w:hAnsiTheme="minorHAnsi"/>
                <w:color w:val="000000"/>
              </w:rPr>
              <w:t xml:space="preserve">Interview </w:t>
            </w:r>
            <w:r w:rsidR="00A91F56">
              <w:rPr>
                <w:rFonts w:asciiTheme="minorHAnsi" w:hAnsiTheme="minorHAnsi"/>
                <w:color w:val="000000"/>
              </w:rPr>
              <w:t xml:space="preserve">of a Transition-Aged Student with an Exceptionality </w:t>
            </w:r>
          </w:p>
          <w:p w14:paraId="5A7A4D15" w14:textId="3941ACF2" w:rsidR="00CE22D8" w:rsidRDefault="00CE22D8" w:rsidP="007F6EBB">
            <w:pPr>
              <w:widowControl w:val="0"/>
              <w:rPr>
                <w:rFonts w:asciiTheme="minorHAnsi" w:hAnsiTheme="minorHAnsi"/>
                <w:color w:val="000000"/>
              </w:rPr>
            </w:pPr>
            <w:r>
              <w:rPr>
                <w:rFonts w:asciiTheme="minorHAnsi" w:hAnsiTheme="minorHAnsi"/>
                <w:color w:val="000000"/>
              </w:rPr>
              <w:t>Comprehensive Exam</w:t>
            </w:r>
          </w:p>
        </w:tc>
      </w:tr>
      <w:tr w:rsidR="007F6EBB" w14:paraId="4C6B375E" w14:textId="77777777" w:rsidTr="0009737C">
        <w:trPr>
          <w:cantSplit/>
        </w:trPr>
        <w:tc>
          <w:tcPr>
            <w:tcW w:w="4273" w:type="dxa"/>
          </w:tcPr>
          <w:p w14:paraId="65EC4E47" w14:textId="5C26694C" w:rsidR="007F6EBB" w:rsidRPr="00C63D52" w:rsidRDefault="00623413" w:rsidP="00A47B25">
            <w:pPr>
              <w:spacing w:line="240" w:lineRule="auto"/>
              <w:rPr>
                <w:rFonts w:asciiTheme="minorHAnsi" w:hAnsiTheme="minorHAnsi"/>
                <w:color w:val="000000"/>
              </w:rPr>
            </w:pPr>
            <w:r w:rsidRPr="00C63D52">
              <w:rPr>
                <w:rFonts w:asciiTheme="minorHAnsi" w:hAnsiTheme="minorHAnsi"/>
                <w:color w:val="000000"/>
              </w:rPr>
              <w:t xml:space="preserve">Demonstrate an understanding of </w:t>
            </w:r>
            <w:proofErr w:type="gramStart"/>
            <w:r w:rsidRPr="00C63D52">
              <w:rPr>
                <w:rFonts w:asciiTheme="minorHAnsi" w:hAnsiTheme="minorHAnsi"/>
                <w:color w:val="000000"/>
              </w:rPr>
              <w:t>current  laws</w:t>
            </w:r>
            <w:proofErr w:type="gramEnd"/>
            <w:r w:rsidRPr="00C63D52">
              <w:rPr>
                <w:rFonts w:asciiTheme="minorHAnsi" w:hAnsiTheme="minorHAnsi"/>
                <w:color w:val="000000"/>
              </w:rPr>
              <w:t xml:space="preserve"> and initiatives </w:t>
            </w:r>
            <w:r w:rsidR="00A47B25">
              <w:rPr>
                <w:rFonts w:asciiTheme="minorHAnsi" w:hAnsiTheme="minorHAnsi"/>
                <w:color w:val="000000"/>
              </w:rPr>
              <w:t xml:space="preserve">that support individuals  with disabilities from Early Intervention </w:t>
            </w:r>
            <w:r w:rsidRPr="00C63D52">
              <w:rPr>
                <w:rFonts w:asciiTheme="minorHAnsi" w:hAnsiTheme="minorHAnsi"/>
                <w:color w:val="000000"/>
              </w:rPr>
              <w:t>through transition to adult services and how disability, (</w:t>
            </w:r>
            <w:r w:rsidR="00A47B25">
              <w:rPr>
                <w:rFonts w:asciiTheme="minorHAnsi" w:hAnsiTheme="minorHAnsi"/>
                <w:color w:val="000000"/>
              </w:rPr>
              <w:t xml:space="preserve">for example, </w:t>
            </w:r>
            <w:r w:rsidRPr="00C63D52">
              <w:rPr>
                <w:rFonts w:asciiTheme="minorHAnsi" w:hAnsiTheme="minorHAnsi"/>
                <w:color w:val="000000"/>
              </w:rPr>
              <w:t>severity, multiple suppor</w:t>
            </w:r>
            <w:r w:rsidR="00A47B25">
              <w:rPr>
                <w:rFonts w:asciiTheme="minorHAnsi" w:hAnsiTheme="minorHAnsi"/>
                <w:color w:val="000000"/>
              </w:rPr>
              <w:t>t needs, sensory impairments</w:t>
            </w:r>
            <w:r w:rsidRPr="00C63D52">
              <w:rPr>
                <w:rFonts w:asciiTheme="minorHAnsi" w:hAnsiTheme="minorHAnsi"/>
                <w:color w:val="000000"/>
              </w:rPr>
              <w:t>) impacts the supports and services required</w:t>
            </w:r>
          </w:p>
        </w:tc>
        <w:tc>
          <w:tcPr>
            <w:tcW w:w="3727" w:type="dxa"/>
          </w:tcPr>
          <w:p w14:paraId="0582043C" w14:textId="77777777" w:rsidR="004217ED" w:rsidRDefault="00623413" w:rsidP="004217ED">
            <w:pPr>
              <w:spacing w:line="240" w:lineRule="auto"/>
            </w:pPr>
            <w:r>
              <w:t>FSEHD:</w:t>
            </w:r>
          </w:p>
          <w:p w14:paraId="79DD5172" w14:textId="67E91529" w:rsidR="00623413" w:rsidRDefault="00623413" w:rsidP="004217ED">
            <w:pPr>
              <w:spacing w:line="240" w:lineRule="auto"/>
              <w:rPr>
                <w:rFonts w:asciiTheme="minorHAnsi" w:hAnsiTheme="minorHAnsi"/>
              </w:rPr>
            </w:pPr>
            <w:r w:rsidRPr="00AD1732">
              <w:rPr>
                <w:rFonts w:asciiTheme="minorHAnsi" w:hAnsiTheme="minorHAnsi"/>
              </w:rPr>
              <w:t xml:space="preserve">Knowledge: Domain-Specific </w:t>
            </w:r>
            <w:proofErr w:type="gramStart"/>
            <w:r w:rsidRPr="00AD1732">
              <w:rPr>
                <w:rFonts w:asciiTheme="minorHAnsi" w:hAnsiTheme="minorHAnsi"/>
              </w:rPr>
              <w:t>Knowledge,  Contextual</w:t>
            </w:r>
            <w:proofErr w:type="gramEnd"/>
            <w:r w:rsidRPr="00AD1732">
              <w:rPr>
                <w:rFonts w:asciiTheme="minorHAnsi" w:hAnsiTheme="minorHAnsi"/>
              </w:rPr>
              <w:t xml:space="preserve"> Perspective</w:t>
            </w:r>
          </w:p>
          <w:p w14:paraId="73DDBBE7" w14:textId="77777777" w:rsidR="004217ED" w:rsidRPr="004217ED" w:rsidRDefault="004217ED" w:rsidP="004217ED">
            <w:pPr>
              <w:spacing w:line="240" w:lineRule="auto"/>
            </w:pPr>
          </w:p>
          <w:p w14:paraId="62FE6BB5" w14:textId="77777777" w:rsidR="00623413" w:rsidRDefault="00623413" w:rsidP="00623413">
            <w:pPr>
              <w:spacing w:line="240" w:lineRule="auto"/>
              <w:rPr>
                <w:rFonts w:asciiTheme="minorHAnsi" w:hAnsiTheme="minorHAnsi"/>
              </w:rPr>
            </w:pPr>
            <w:r w:rsidRPr="00AD1732">
              <w:rPr>
                <w:rFonts w:asciiTheme="minorHAnsi" w:hAnsiTheme="minorHAnsi"/>
              </w:rPr>
              <w:t>Practice: Evidence Based Decision Making, Diversity of Practice</w:t>
            </w:r>
          </w:p>
          <w:p w14:paraId="5576FA3C" w14:textId="77777777" w:rsidR="00623413" w:rsidRDefault="00623413" w:rsidP="00623413">
            <w:pPr>
              <w:spacing w:line="240" w:lineRule="auto"/>
              <w:rPr>
                <w:rFonts w:asciiTheme="minorHAnsi" w:hAnsiTheme="minorHAnsi"/>
              </w:rPr>
            </w:pPr>
          </w:p>
          <w:p w14:paraId="2BA6F2B7" w14:textId="4FBA9A32" w:rsidR="008E1BD1" w:rsidRPr="00AD1732" w:rsidRDefault="00623413" w:rsidP="00A91F56">
            <w:pPr>
              <w:spacing w:line="240" w:lineRule="auto"/>
              <w:rPr>
                <w:rFonts w:asciiTheme="minorHAnsi" w:hAnsiTheme="minorHAnsi"/>
                <w:color w:val="000000"/>
              </w:rPr>
            </w:pPr>
            <w:r>
              <w:rPr>
                <w:rFonts w:asciiTheme="minorHAnsi" w:hAnsiTheme="minorHAnsi"/>
              </w:rPr>
              <w:t xml:space="preserve">CEC: </w:t>
            </w:r>
            <w:r w:rsidR="008E1BD1">
              <w:rPr>
                <w:rFonts w:asciiTheme="minorHAnsi" w:hAnsiTheme="minorHAnsi"/>
                <w:color w:val="000000"/>
              </w:rPr>
              <w:t xml:space="preserve">  </w:t>
            </w:r>
            <w:r w:rsidR="008E1BD1" w:rsidRPr="00AD1732">
              <w:rPr>
                <w:rFonts w:asciiTheme="minorHAnsi" w:hAnsiTheme="minorHAnsi"/>
                <w:color w:val="000000"/>
              </w:rPr>
              <w:t>SETRS.</w:t>
            </w:r>
            <w:proofErr w:type="gramStart"/>
            <w:r w:rsidR="008E1BD1" w:rsidRPr="00AD1732">
              <w:rPr>
                <w:rFonts w:asciiTheme="minorHAnsi" w:hAnsiTheme="minorHAnsi"/>
                <w:color w:val="000000"/>
              </w:rPr>
              <w:t>4.K2</w:t>
            </w:r>
            <w:proofErr w:type="gramEnd"/>
            <w:r w:rsidR="00A91F56">
              <w:rPr>
                <w:rFonts w:asciiTheme="minorHAnsi" w:hAnsiTheme="minorHAnsi"/>
                <w:color w:val="000000"/>
              </w:rPr>
              <w:t xml:space="preserve">; </w:t>
            </w:r>
            <w:r w:rsidR="008E1BD1" w:rsidRPr="00AD1732">
              <w:rPr>
                <w:rFonts w:asciiTheme="minorHAnsi" w:hAnsiTheme="minorHAnsi"/>
                <w:color w:val="000000"/>
              </w:rPr>
              <w:t>SETRS.5.K1</w:t>
            </w:r>
          </w:p>
          <w:p w14:paraId="3583F2F4" w14:textId="3BC7D77A" w:rsidR="008E1BD1" w:rsidRDefault="008E1BD1" w:rsidP="00A91F56">
            <w:pPr>
              <w:spacing w:line="240" w:lineRule="auto"/>
            </w:pPr>
            <w:r>
              <w:rPr>
                <w:rFonts w:asciiTheme="minorHAnsi" w:hAnsiTheme="minorHAnsi"/>
                <w:color w:val="000000"/>
              </w:rPr>
              <w:t xml:space="preserve">  </w:t>
            </w:r>
            <w:r w:rsidRPr="00AD1732">
              <w:rPr>
                <w:rFonts w:asciiTheme="minorHAnsi" w:hAnsiTheme="minorHAnsi"/>
                <w:color w:val="000000"/>
              </w:rPr>
              <w:t>SETRS.</w:t>
            </w:r>
            <w:proofErr w:type="gramStart"/>
            <w:r w:rsidRPr="00AD1732">
              <w:rPr>
                <w:rFonts w:asciiTheme="minorHAnsi" w:hAnsiTheme="minorHAnsi"/>
                <w:color w:val="000000"/>
              </w:rPr>
              <w:t>7.K2</w:t>
            </w:r>
            <w:proofErr w:type="gramEnd"/>
            <w:r w:rsidR="00A91F56">
              <w:rPr>
                <w:rFonts w:asciiTheme="minorHAnsi" w:hAnsiTheme="minorHAnsi"/>
                <w:color w:val="000000"/>
              </w:rPr>
              <w:t xml:space="preserve">; </w:t>
            </w:r>
            <w:r>
              <w:rPr>
                <w:rFonts w:asciiTheme="minorHAnsi" w:hAnsiTheme="minorHAnsi"/>
                <w:color w:val="000000"/>
              </w:rPr>
              <w:t xml:space="preserve">  SETRS.7.S6</w:t>
            </w:r>
          </w:p>
        </w:tc>
        <w:tc>
          <w:tcPr>
            <w:tcW w:w="2780" w:type="dxa"/>
          </w:tcPr>
          <w:p w14:paraId="220C4978" w14:textId="48A26EA9" w:rsidR="00CE22D8" w:rsidRDefault="00CE22D8" w:rsidP="007F6EBB">
            <w:pPr>
              <w:widowControl w:val="0"/>
              <w:rPr>
                <w:rFonts w:asciiTheme="minorHAnsi" w:hAnsiTheme="minorHAnsi"/>
                <w:color w:val="000000"/>
              </w:rPr>
            </w:pPr>
            <w:r>
              <w:rPr>
                <w:rFonts w:asciiTheme="minorHAnsi" w:hAnsiTheme="minorHAnsi"/>
                <w:color w:val="000000"/>
              </w:rPr>
              <w:t>Exam</w:t>
            </w:r>
          </w:p>
        </w:tc>
      </w:tr>
      <w:tr w:rsidR="002A5391" w14:paraId="11719319" w14:textId="77777777" w:rsidTr="0009737C">
        <w:trPr>
          <w:cantSplit/>
        </w:trPr>
        <w:tc>
          <w:tcPr>
            <w:tcW w:w="4273" w:type="dxa"/>
          </w:tcPr>
          <w:p w14:paraId="5111C7F8" w14:textId="35260BEB" w:rsidR="002A5391" w:rsidRPr="00C63D52" w:rsidRDefault="002A5391" w:rsidP="007F6EBB">
            <w:pPr>
              <w:spacing w:line="240" w:lineRule="auto"/>
              <w:rPr>
                <w:rFonts w:asciiTheme="minorHAnsi" w:hAnsiTheme="minorHAnsi"/>
                <w:color w:val="000000"/>
              </w:rPr>
            </w:pPr>
            <w:r w:rsidRPr="00C63D52">
              <w:rPr>
                <w:rFonts w:asciiTheme="minorHAnsi" w:hAnsiTheme="minorHAnsi"/>
                <w:color w:val="000000"/>
              </w:rPr>
              <w:t>Demonstrate an understanding of the different roles and responsibilities the student, family, special and general education teachers, paraprofessionals, school administrators and community agencies have in facilitating a successful transition for a student with a disability.  Discuss how variability in disability awareness impacts participation in this planning process</w:t>
            </w:r>
          </w:p>
        </w:tc>
        <w:tc>
          <w:tcPr>
            <w:tcW w:w="3727" w:type="dxa"/>
          </w:tcPr>
          <w:p w14:paraId="7E8A8CB6" w14:textId="77777777" w:rsidR="002A5391" w:rsidRDefault="002A5391" w:rsidP="002A5391">
            <w:pPr>
              <w:spacing w:line="240" w:lineRule="auto"/>
            </w:pPr>
            <w:r>
              <w:t>FSEHD:</w:t>
            </w:r>
          </w:p>
          <w:p w14:paraId="52F4F6C6" w14:textId="244523D2" w:rsidR="002A5391" w:rsidRDefault="002A5391" w:rsidP="002A5391">
            <w:pPr>
              <w:spacing w:line="240" w:lineRule="auto"/>
              <w:rPr>
                <w:rFonts w:asciiTheme="minorHAnsi" w:hAnsiTheme="minorHAnsi"/>
              </w:rPr>
            </w:pPr>
            <w:r w:rsidRPr="00AD1732">
              <w:rPr>
                <w:rFonts w:asciiTheme="minorHAnsi" w:hAnsiTheme="minorHAnsi"/>
              </w:rPr>
              <w:t xml:space="preserve">Knowledge: Domain-Specific </w:t>
            </w:r>
            <w:proofErr w:type="gramStart"/>
            <w:r w:rsidRPr="00AD1732">
              <w:rPr>
                <w:rFonts w:asciiTheme="minorHAnsi" w:hAnsiTheme="minorHAnsi"/>
              </w:rPr>
              <w:t>Knowledge,  Contextual</w:t>
            </w:r>
            <w:proofErr w:type="gramEnd"/>
            <w:r w:rsidRPr="00AD1732">
              <w:rPr>
                <w:rFonts w:asciiTheme="minorHAnsi" w:hAnsiTheme="minorHAnsi"/>
              </w:rPr>
              <w:t xml:space="preserve"> Perspective</w:t>
            </w:r>
          </w:p>
          <w:p w14:paraId="49B9F8CC" w14:textId="77777777" w:rsidR="002A5391" w:rsidRPr="002A5391" w:rsidRDefault="002A5391" w:rsidP="002A5391">
            <w:pPr>
              <w:spacing w:line="240" w:lineRule="auto"/>
            </w:pPr>
          </w:p>
          <w:p w14:paraId="0B7BF2F4" w14:textId="77777777" w:rsidR="002A5391" w:rsidRDefault="002A5391" w:rsidP="002A5391">
            <w:pPr>
              <w:spacing w:line="240" w:lineRule="auto"/>
              <w:rPr>
                <w:rFonts w:asciiTheme="minorHAnsi" w:hAnsiTheme="minorHAnsi"/>
              </w:rPr>
            </w:pPr>
            <w:r w:rsidRPr="00AD1732">
              <w:rPr>
                <w:rFonts w:asciiTheme="minorHAnsi" w:hAnsiTheme="minorHAnsi"/>
              </w:rPr>
              <w:t>Practice: Professional Identity Development</w:t>
            </w:r>
          </w:p>
          <w:p w14:paraId="2D242EF1" w14:textId="77777777" w:rsidR="002A5391" w:rsidRDefault="002A5391" w:rsidP="002A5391">
            <w:pPr>
              <w:spacing w:line="240" w:lineRule="auto"/>
              <w:rPr>
                <w:rFonts w:asciiTheme="minorHAnsi" w:hAnsiTheme="minorHAnsi"/>
              </w:rPr>
            </w:pPr>
          </w:p>
          <w:p w14:paraId="0AEB046C" w14:textId="40C963AB" w:rsidR="002A5391" w:rsidRDefault="002A5391" w:rsidP="002A5391">
            <w:pPr>
              <w:spacing w:line="240" w:lineRule="auto"/>
              <w:rPr>
                <w:rFonts w:asciiTheme="minorHAnsi" w:hAnsiTheme="minorHAnsi"/>
              </w:rPr>
            </w:pPr>
            <w:r>
              <w:rPr>
                <w:rFonts w:asciiTheme="minorHAnsi" w:hAnsiTheme="minorHAnsi"/>
              </w:rPr>
              <w:t xml:space="preserve">CEC: </w:t>
            </w:r>
            <w:r w:rsidR="00A91F56">
              <w:rPr>
                <w:rFonts w:asciiTheme="minorHAnsi" w:hAnsiTheme="minorHAnsi"/>
              </w:rPr>
              <w:t xml:space="preserve"> </w:t>
            </w:r>
            <w:r w:rsidRPr="00AD1732">
              <w:rPr>
                <w:rFonts w:asciiTheme="minorHAnsi" w:hAnsiTheme="minorHAnsi"/>
                <w:color w:val="000000"/>
              </w:rPr>
              <w:t>SETRS.</w:t>
            </w:r>
            <w:proofErr w:type="gramStart"/>
            <w:r w:rsidRPr="00AD1732">
              <w:rPr>
                <w:rFonts w:asciiTheme="minorHAnsi" w:hAnsiTheme="minorHAnsi"/>
                <w:color w:val="000000"/>
              </w:rPr>
              <w:t>7.K2</w:t>
            </w:r>
            <w:proofErr w:type="gramEnd"/>
          </w:p>
          <w:p w14:paraId="323158D3" w14:textId="1AABE02D" w:rsidR="002A5391" w:rsidRDefault="002A5391" w:rsidP="002A5391">
            <w:pPr>
              <w:spacing w:line="240" w:lineRule="auto"/>
            </w:pPr>
          </w:p>
        </w:tc>
        <w:tc>
          <w:tcPr>
            <w:tcW w:w="2780" w:type="dxa"/>
          </w:tcPr>
          <w:p w14:paraId="4ED285E4" w14:textId="77777777" w:rsidR="002A5391" w:rsidRDefault="002A5391" w:rsidP="007F6EBB">
            <w:pPr>
              <w:widowControl w:val="0"/>
              <w:rPr>
                <w:rFonts w:asciiTheme="minorHAnsi" w:hAnsiTheme="minorHAnsi"/>
                <w:color w:val="000000"/>
              </w:rPr>
            </w:pPr>
            <w:r>
              <w:rPr>
                <w:rFonts w:asciiTheme="minorHAnsi" w:hAnsiTheme="minorHAnsi"/>
                <w:color w:val="000000"/>
              </w:rPr>
              <w:t>Attendance</w:t>
            </w:r>
          </w:p>
          <w:p w14:paraId="101C1446" w14:textId="77777777" w:rsidR="002A5391" w:rsidRDefault="002A5391" w:rsidP="007F6EBB">
            <w:pPr>
              <w:widowControl w:val="0"/>
              <w:rPr>
                <w:rFonts w:asciiTheme="minorHAnsi" w:hAnsiTheme="minorHAnsi"/>
                <w:color w:val="000000"/>
              </w:rPr>
            </w:pPr>
            <w:r>
              <w:rPr>
                <w:rFonts w:asciiTheme="minorHAnsi" w:hAnsiTheme="minorHAnsi"/>
                <w:color w:val="000000"/>
              </w:rPr>
              <w:t>Class participation</w:t>
            </w:r>
          </w:p>
          <w:p w14:paraId="46E65738" w14:textId="77777777" w:rsidR="002A5391" w:rsidRDefault="002A5391" w:rsidP="007F6EBB">
            <w:pPr>
              <w:widowControl w:val="0"/>
              <w:rPr>
                <w:rFonts w:asciiTheme="minorHAnsi" w:hAnsiTheme="minorHAnsi"/>
                <w:color w:val="000000"/>
              </w:rPr>
            </w:pPr>
            <w:r>
              <w:rPr>
                <w:rFonts w:asciiTheme="minorHAnsi" w:hAnsiTheme="minorHAnsi"/>
                <w:color w:val="000000"/>
              </w:rPr>
              <w:t xml:space="preserve">Paper </w:t>
            </w:r>
          </w:p>
          <w:p w14:paraId="2A29676D" w14:textId="0DACD1D8" w:rsidR="00CE22D8" w:rsidRDefault="00CE22D8" w:rsidP="007F6EBB">
            <w:pPr>
              <w:widowControl w:val="0"/>
              <w:rPr>
                <w:rFonts w:asciiTheme="minorHAnsi" w:hAnsiTheme="minorHAnsi"/>
                <w:color w:val="000000"/>
              </w:rPr>
            </w:pPr>
            <w:r>
              <w:rPr>
                <w:rFonts w:asciiTheme="minorHAnsi" w:hAnsiTheme="minorHAnsi"/>
                <w:color w:val="000000"/>
              </w:rPr>
              <w:t>Comprehensive Exam</w:t>
            </w:r>
          </w:p>
        </w:tc>
      </w:tr>
      <w:tr w:rsidR="002A5391" w14:paraId="4FD48881" w14:textId="77777777" w:rsidTr="0009737C">
        <w:trPr>
          <w:cantSplit/>
        </w:trPr>
        <w:tc>
          <w:tcPr>
            <w:tcW w:w="4273" w:type="dxa"/>
          </w:tcPr>
          <w:p w14:paraId="53608396" w14:textId="45A6421B" w:rsidR="002A5391" w:rsidRPr="00C63D52" w:rsidRDefault="002A5391" w:rsidP="007F6EBB">
            <w:pPr>
              <w:spacing w:line="240" w:lineRule="auto"/>
              <w:rPr>
                <w:rFonts w:asciiTheme="minorHAnsi" w:hAnsiTheme="minorHAnsi"/>
                <w:color w:val="000000"/>
              </w:rPr>
            </w:pPr>
            <w:r w:rsidRPr="00C63D52">
              <w:rPr>
                <w:rFonts w:asciiTheme="minorHAnsi" w:hAnsiTheme="minorHAnsi"/>
                <w:color w:val="000000"/>
              </w:rPr>
              <w:t xml:space="preserve">Demonstrate an understanding of the IEP process including an understanding of transition services for students with </w:t>
            </w:r>
            <w:r w:rsidR="00A91F56">
              <w:rPr>
                <w:rFonts w:asciiTheme="minorHAnsi" w:hAnsiTheme="minorHAnsi"/>
                <w:color w:val="000000"/>
              </w:rPr>
              <w:t>exceptionalities</w:t>
            </w:r>
            <w:r w:rsidRPr="00C63D52">
              <w:rPr>
                <w:rFonts w:asciiTheme="minorHAnsi" w:hAnsiTheme="minorHAnsi"/>
                <w:color w:val="000000"/>
              </w:rPr>
              <w:t xml:space="preserve"> over the age of 14. Recognize the role of the transition plan in defining the supports and services in the IEP</w:t>
            </w:r>
          </w:p>
        </w:tc>
        <w:tc>
          <w:tcPr>
            <w:tcW w:w="3727" w:type="dxa"/>
          </w:tcPr>
          <w:p w14:paraId="0B678431" w14:textId="6CDB8E35" w:rsidR="002A5391" w:rsidRDefault="002A5391" w:rsidP="002A5391">
            <w:pPr>
              <w:spacing w:line="240" w:lineRule="auto"/>
              <w:rPr>
                <w:rFonts w:asciiTheme="minorHAnsi" w:hAnsiTheme="minorHAnsi"/>
              </w:rPr>
            </w:pPr>
            <w:r>
              <w:t xml:space="preserve">FSEHD: </w:t>
            </w:r>
            <w:r w:rsidRPr="00AD1732">
              <w:rPr>
                <w:rFonts w:asciiTheme="minorHAnsi" w:hAnsiTheme="minorHAnsi"/>
              </w:rPr>
              <w:t xml:space="preserve">Knowledge: Domain-Specific </w:t>
            </w:r>
            <w:proofErr w:type="gramStart"/>
            <w:r w:rsidRPr="00AD1732">
              <w:rPr>
                <w:rFonts w:asciiTheme="minorHAnsi" w:hAnsiTheme="minorHAnsi"/>
              </w:rPr>
              <w:t>Knowledge,  Informational</w:t>
            </w:r>
            <w:proofErr w:type="gramEnd"/>
            <w:r w:rsidRPr="00AD1732">
              <w:rPr>
                <w:rFonts w:asciiTheme="minorHAnsi" w:hAnsiTheme="minorHAnsi"/>
              </w:rPr>
              <w:t xml:space="preserve"> Literacy </w:t>
            </w:r>
          </w:p>
          <w:p w14:paraId="3DEB7A7E" w14:textId="77777777" w:rsidR="002A5391" w:rsidRPr="002A5391" w:rsidRDefault="002A5391" w:rsidP="002A5391">
            <w:pPr>
              <w:spacing w:line="240" w:lineRule="auto"/>
            </w:pPr>
          </w:p>
          <w:p w14:paraId="0DC71BB4" w14:textId="77777777" w:rsidR="002A5391" w:rsidRDefault="002A5391" w:rsidP="002A5391">
            <w:pPr>
              <w:spacing w:line="240" w:lineRule="auto"/>
              <w:rPr>
                <w:rFonts w:asciiTheme="minorHAnsi" w:hAnsiTheme="minorHAnsi"/>
              </w:rPr>
            </w:pPr>
            <w:r w:rsidRPr="00AD1732">
              <w:rPr>
                <w:rFonts w:asciiTheme="minorHAnsi" w:hAnsiTheme="minorHAnsi"/>
              </w:rPr>
              <w:t>Practice: Evidence-based Decision Making</w:t>
            </w:r>
          </w:p>
          <w:p w14:paraId="2A7E7965" w14:textId="77777777" w:rsidR="002A5391" w:rsidRDefault="002A5391" w:rsidP="002A5391">
            <w:pPr>
              <w:spacing w:line="240" w:lineRule="auto"/>
              <w:rPr>
                <w:rFonts w:asciiTheme="minorHAnsi" w:hAnsiTheme="minorHAnsi"/>
              </w:rPr>
            </w:pPr>
          </w:p>
          <w:p w14:paraId="38A4F9F2" w14:textId="7EACF1B7" w:rsidR="002A5391" w:rsidRDefault="002A5391" w:rsidP="00A91F56">
            <w:pPr>
              <w:spacing w:line="240" w:lineRule="auto"/>
            </w:pPr>
            <w:r>
              <w:rPr>
                <w:rFonts w:asciiTheme="minorHAnsi" w:hAnsiTheme="minorHAnsi"/>
              </w:rPr>
              <w:t xml:space="preserve">CEC: </w:t>
            </w:r>
            <w:r w:rsidRPr="00AD1732">
              <w:rPr>
                <w:rFonts w:asciiTheme="minorHAnsi" w:hAnsiTheme="minorHAnsi"/>
                <w:color w:val="000000"/>
              </w:rPr>
              <w:t>SETRS.</w:t>
            </w:r>
            <w:proofErr w:type="gramStart"/>
            <w:r w:rsidRPr="00AD1732">
              <w:rPr>
                <w:rFonts w:asciiTheme="minorHAnsi" w:hAnsiTheme="minorHAnsi"/>
                <w:color w:val="000000"/>
              </w:rPr>
              <w:t>4.S</w:t>
            </w:r>
            <w:proofErr w:type="gramEnd"/>
            <w:r w:rsidRPr="00AD1732">
              <w:rPr>
                <w:rFonts w:asciiTheme="minorHAnsi" w:hAnsiTheme="minorHAnsi"/>
                <w:color w:val="000000"/>
              </w:rPr>
              <w:t>3</w:t>
            </w:r>
            <w:r w:rsidR="00A91F56">
              <w:rPr>
                <w:rFonts w:asciiTheme="minorHAnsi" w:hAnsiTheme="minorHAnsi"/>
                <w:color w:val="000000"/>
              </w:rPr>
              <w:t xml:space="preserve">; </w:t>
            </w:r>
            <w:r w:rsidRPr="00AD1732">
              <w:rPr>
                <w:rFonts w:asciiTheme="minorHAnsi" w:hAnsiTheme="minorHAnsi"/>
                <w:color w:val="000000"/>
              </w:rPr>
              <w:t>SETRS.3.K1</w:t>
            </w:r>
            <w:r w:rsidR="00A91F56">
              <w:rPr>
                <w:rFonts w:asciiTheme="minorHAnsi" w:hAnsiTheme="minorHAnsi"/>
                <w:color w:val="000000"/>
              </w:rPr>
              <w:t xml:space="preserve">; </w:t>
            </w:r>
            <w:r w:rsidRPr="00AD1732">
              <w:rPr>
                <w:rFonts w:asciiTheme="minorHAnsi" w:hAnsiTheme="minorHAnsi"/>
                <w:color w:val="000000"/>
              </w:rPr>
              <w:t>SETRS.7.S10</w:t>
            </w:r>
          </w:p>
        </w:tc>
        <w:tc>
          <w:tcPr>
            <w:tcW w:w="2780" w:type="dxa"/>
          </w:tcPr>
          <w:p w14:paraId="527E3204" w14:textId="77777777" w:rsidR="002A5391" w:rsidRDefault="002A5391" w:rsidP="007F6EBB">
            <w:pPr>
              <w:widowControl w:val="0"/>
              <w:rPr>
                <w:rFonts w:asciiTheme="minorHAnsi" w:hAnsiTheme="minorHAnsi"/>
                <w:color w:val="000000"/>
              </w:rPr>
            </w:pPr>
            <w:r>
              <w:rPr>
                <w:rFonts w:asciiTheme="minorHAnsi" w:hAnsiTheme="minorHAnsi"/>
                <w:color w:val="000000"/>
              </w:rPr>
              <w:t>Attendance</w:t>
            </w:r>
          </w:p>
          <w:p w14:paraId="2CEF2DB4" w14:textId="77777777" w:rsidR="002A5391" w:rsidRDefault="002A5391" w:rsidP="007F6EBB">
            <w:pPr>
              <w:widowControl w:val="0"/>
              <w:rPr>
                <w:rFonts w:asciiTheme="minorHAnsi" w:hAnsiTheme="minorHAnsi"/>
                <w:color w:val="000000"/>
              </w:rPr>
            </w:pPr>
            <w:r>
              <w:rPr>
                <w:rFonts w:asciiTheme="minorHAnsi" w:hAnsiTheme="minorHAnsi"/>
                <w:color w:val="000000"/>
              </w:rPr>
              <w:t xml:space="preserve">Class participation </w:t>
            </w:r>
          </w:p>
          <w:p w14:paraId="3B0C42EB" w14:textId="77777777" w:rsidR="002A5391" w:rsidRDefault="002A5391" w:rsidP="007F6EBB">
            <w:pPr>
              <w:widowControl w:val="0"/>
              <w:rPr>
                <w:rFonts w:asciiTheme="minorHAnsi" w:hAnsiTheme="minorHAnsi"/>
                <w:color w:val="000000"/>
              </w:rPr>
            </w:pPr>
            <w:r>
              <w:rPr>
                <w:rFonts w:asciiTheme="minorHAnsi" w:hAnsiTheme="minorHAnsi"/>
                <w:color w:val="000000"/>
              </w:rPr>
              <w:t>Quiz</w:t>
            </w:r>
          </w:p>
          <w:p w14:paraId="2C157FCC" w14:textId="5D62A31D" w:rsidR="00CE22D8" w:rsidRDefault="00CE22D8" w:rsidP="007F6EBB">
            <w:pPr>
              <w:widowControl w:val="0"/>
              <w:rPr>
                <w:rFonts w:asciiTheme="minorHAnsi" w:hAnsiTheme="minorHAnsi"/>
                <w:color w:val="000000"/>
              </w:rPr>
            </w:pPr>
            <w:r>
              <w:rPr>
                <w:rFonts w:asciiTheme="minorHAnsi" w:hAnsiTheme="minorHAnsi"/>
                <w:color w:val="000000"/>
              </w:rPr>
              <w:t>Comprehensive Exam</w:t>
            </w:r>
          </w:p>
        </w:tc>
      </w:tr>
      <w:tr w:rsidR="002A5391" w14:paraId="09E0373E" w14:textId="77777777" w:rsidTr="0009737C">
        <w:trPr>
          <w:cantSplit/>
        </w:trPr>
        <w:tc>
          <w:tcPr>
            <w:tcW w:w="4273" w:type="dxa"/>
          </w:tcPr>
          <w:p w14:paraId="4BCEE6B0" w14:textId="11F0F587" w:rsidR="002A5391" w:rsidRPr="00C63D52" w:rsidRDefault="002A5391" w:rsidP="007F6EBB">
            <w:pPr>
              <w:spacing w:line="240" w:lineRule="auto"/>
              <w:rPr>
                <w:rFonts w:asciiTheme="minorHAnsi" w:hAnsiTheme="minorHAnsi"/>
                <w:color w:val="000000"/>
              </w:rPr>
            </w:pPr>
            <w:r w:rsidRPr="00C63D52">
              <w:rPr>
                <w:rFonts w:asciiTheme="minorHAnsi" w:hAnsiTheme="minorHAnsi"/>
                <w:color w:val="000000"/>
              </w:rPr>
              <w:lastRenderedPageBreak/>
              <w:t xml:space="preserve">Demonstrate an understanding of the various </w:t>
            </w:r>
            <w:proofErr w:type="gramStart"/>
            <w:r w:rsidRPr="00C63D52">
              <w:rPr>
                <w:rFonts w:asciiTheme="minorHAnsi" w:hAnsiTheme="minorHAnsi"/>
                <w:color w:val="000000"/>
              </w:rPr>
              <w:t>evidence based</w:t>
            </w:r>
            <w:proofErr w:type="gramEnd"/>
            <w:r w:rsidRPr="00C63D52">
              <w:rPr>
                <w:rFonts w:asciiTheme="minorHAnsi" w:hAnsiTheme="minorHAnsi"/>
                <w:color w:val="000000"/>
              </w:rPr>
              <w:t xml:space="preserve"> assessments used to evaluate individual students’ transition goals, needs and supports in the areas of education, employment and independent living and leisure.   Demonstrate the ability to administer, score and interpret appropriate transition-related assessments.  Demonstrate an understanding </w:t>
            </w:r>
            <w:proofErr w:type="gramStart"/>
            <w:r w:rsidRPr="00C63D52">
              <w:rPr>
                <w:rFonts w:asciiTheme="minorHAnsi" w:hAnsiTheme="minorHAnsi"/>
                <w:color w:val="000000"/>
              </w:rPr>
              <w:t>of  progress</w:t>
            </w:r>
            <w:proofErr w:type="gramEnd"/>
            <w:r w:rsidRPr="00C63D52">
              <w:rPr>
                <w:rFonts w:asciiTheme="minorHAnsi" w:hAnsiTheme="minorHAnsi"/>
                <w:color w:val="000000"/>
              </w:rPr>
              <w:t xml:space="preserve"> monitoring – both formal and informal</w:t>
            </w:r>
          </w:p>
        </w:tc>
        <w:tc>
          <w:tcPr>
            <w:tcW w:w="3727" w:type="dxa"/>
          </w:tcPr>
          <w:p w14:paraId="18190153" w14:textId="77777777" w:rsidR="002A5391" w:rsidRDefault="002A5391" w:rsidP="00004E31">
            <w:pPr>
              <w:spacing w:line="240" w:lineRule="auto"/>
              <w:ind w:left="106"/>
            </w:pPr>
            <w:r>
              <w:t>FSEHD:</w:t>
            </w:r>
          </w:p>
          <w:p w14:paraId="03E555E5" w14:textId="125493AA" w:rsidR="002A5391" w:rsidRDefault="002A5391" w:rsidP="00004E31">
            <w:pPr>
              <w:spacing w:line="240" w:lineRule="auto"/>
              <w:ind w:left="106"/>
              <w:rPr>
                <w:rFonts w:asciiTheme="minorHAnsi" w:hAnsiTheme="minorHAnsi"/>
              </w:rPr>
            </w:pPr>
            <w:r w:rsidRPr="00AD1732">
              <w:rPr>
                <w:rFonts w:asciiTheme="minorHAnsi" w:hAnsiTheme="minorHAnsi"/>
              </w:rPr>
              <w:t xml:space="preserve">Knowledge: Domain-Specific </w:t>
            </w:r>
            <w:proofErr w:type="gramStart"/>
            <w:r w:rsidRPr="00AD1732">
              <w:rPr>
                <w:rFonts w:asciiTheme="minorHAnsi" w:hAnsiTheme="minorHAnsi"/>
              </w:rPr>
              <w:t>Knowledge,  Informational</w:t>
            </w:r>
            <w:proofErr w:type="gramEnd"/>
            <w:r w:rsidRPr="00AD1732">
              <w:rPr>
                <w:rFonts w:asciiTheme="minorHAnsi" w:hAnsiTheme="minorHAnsi"/>
              </w:rPr>
              <w:t xml:space="preserve"> Literacy </w:t>
            </w:r>
          </w:p>
          <w:p w14:paraId="7820A9A4" w14:textId="77777777" w:rsidR="002A5391" w:rsidRPr="002A5391" w:rsidRDefault="002A5391" w:rsidP="00004E31">
            <w:pPr>
              <w:spacing w:line="240" w:lineRule="auto"/>
              <w:ind w:left="106"/>
            </w:pPr>
          </w:p>
          <w:p w14:paraId="51B19150" w14:textId="77777777" w:rsidR="002A5391" w:rsidRDefault="002A5391" w:rsidP="00004E31">
            <w:pPr>
              <w:spacing w:line="240" w:lineRule="auto"/>
              <w:ind w:left="106"/>
              <w:rPr>
                <w:rFonts w:asciiTheme="minorHAnsi" w:hAnsiTheme="minorHAnsi"/>
              </w:rPr>
            </w:pPr>
            <w:r w:rsidRPr="00AD1732">
              <w:rPr>
                <w:rFonts w:asciiTheme="minorHAnsi" w:hAnsiTheme="minorHAnsi"/>
              </w:rPr>
              <w:t xml:space="preserve">Practice: Evidence-based Decision </w:t>
            </w:r>
            <w:proofErr w:type="gramStart"/>
            <w:r w:rsidRPr="00AD1732">
              <w:rPr>
                <w:rFonts w:asciiTheme="minorHAnsi" w:hAnsiTheme="minorHAnsi"/>
              </w:rPr>
              <w:t>Making,  Technology</w:t>
            </w:r>
            <w:proofErr w:type="gramEnd"/>
            <w:r w:rsidRPr="00AD1732">
              <w:rPr>
                <w:rFonts w:asciiTheme="minorHAnsi" w:hAnsiTheme="minorHAnsi"/>
              </w:rPr>
              <w:t xml:space="preserve"> Use</w:t>
            </w:r>
          </w:p>
          <w:p w14:paraId="24207884" w14:textId="77777777" w:rsidR="002A5391" w:rsidRDefault="002A5391" w:rsidP="00004E31">
            <w:pPr>
              <w:spacing w:line="240" w:lineRule="auto"/>
              <w:ind w:left="106"/>
              <w:rPr>
                <w:rFonts w:asciiTheme="minorHAnsi" w:hAnsiTheme="minorHAnsi"/>
              </w:rPr>
            </w:pPr>
          </w:p>
          <w:p w14:paraId="5B74B9FD" w14:textId="5EA2EE94" w:rsidR="002A5391" w:rsidRPr="00004E31" w:rsidRDefault="002A5391" w:rsidP="00004E31">
            <w:pPr>
              <w:pStyle w:val="Pa2"/>
              <w:ind w:left="106"/>
              <w:rPr>
                <w:rFonts w:asciiTheme="minorHAnsi" w:eastAsia="Times New Roman" w:hAnsiTheme="minorHAnsi"/>
                <w:sz w:val="22"/>
                <w:szCs w:val="22"/>
              </w:rPr>
            </w:pPr>
            <w:r w:rsidRPr="00004E31">
              <w:rPr>
                <w:rFonts w:asciiTheme="minorHAnsi" w:eastAsia="Times New Roman" w:hAnsiTheme="minorHAnsi"/>
                <w:sz w:val="22"/>
                <w:szCs w:val="22"/>
              </w:rPr>
              <w:t xml:space="preserve">CEC: </w:t>
            </w:r>
            <w:r w:rsidR="00A91F56" w:rsidRPr="00004E31">
              <w:rPr>
                <w:rFonts w:asciiTheme="minorHAnsi" w:eastAsia="Times New Roman" w:hAnsiTheme="minorHAnsi"/>
                <w:sz w:val="22"/>
                <w:szCs w:val="22"/>
              </w:rPr>
              <w:t>SETRS.</w:t>
            </w:r>
            <w:proofErr w:type="gramStart"/>
            <w:r w:rsidR="00A91F56" w:rsidRPr="00004E31">
              <w:rPr>
                <w:rFonts w:asciiTheme="minorHAnsi" w:eastAsia="Times New Roman" w:hAnsiTheme="minorHAnsi"/>
                <w:sz w:val="22"/>
                <w:szCs w:val="22"/>
              </w:rPr>
              <w:t>1.S</w:t>
            </w:r>
            <w:proofErr w:type="gramEnd"/>
            <w:r w:rsidR="00A91F56" w:rsidRPr="00004E31">
              <w:rPr>
                <w:rFonts w:asciiTheme="minorHAnsi" w:eastAsia="Times New Roman" w:hAnsiTheme="minorHAnsi"/>
                <w:sz w:val="22"/>
                <w:szCs w:val="22"/>
              </w:rPr>
              <w:t>1; SETRS.1.K1; SETRS.2.K1; SETRS.3.K1</w:t>
            </w:r>
            <w:r w:rsidR="005A29B5" w:rsidRPr="00004E31">
              <w:rPr>
                <w:rFonts w:asciiTheme="minorHAnsi" w:eastAsia="Times New Roman" w:hAnsiTheme="minorHAnsi"/>
                <w:sz w:val="22"/>
                <w:szCs w:val="22"/>
              </w:rPr>
              <w:t xml:space="preserve">; </w:t>
            </w:r>
            <w:r w:rsidR="00A91F56" w:rsidRPr="00004E31">
              <w:rPr>
                <w:rFonts w:asciiTheme="minorHAnsi" w:eastAsia="Times New Roman" w:hAnsiTheme="minorHAnsi"/>
                <w:sz w:val="22"/>
                <w:szCs w:val="22"/>
              </w:rPr>
              <w:t>SETRS.4.S3</w:t>
            </w:r>
            <w:r w:rsidR="00004E31" w:rsidRPr="00004E31">
              <w:rPr>
                <w:rFonts w:asciiTheme="minorHAnsi" w:eastAsia="Times New Roman" w:hAnsiTheme="minorHAnsi"/>
                <w:sz w:val="22"/>
                <w:szCs w:val="22"/>
              </w:rPr>
              <w:t xml:space="preserve">; </w:t>
            </w:r>
            <w:r w:rsidR="00A91F56" w:rsidRPr="00004E31">
              <w:rPr>
                <w:rFonts w:asciiTheme="minorHAnsi" w:eastAsia="Times New Roman" w:hAnsiTheme="minorHAnsi"/>
                <w:sz w:val="22"/>
                <w:szCs w:val="22"/>
              </w:rPr>
              <w:t>SETRS.7.S10</w:t>
            </w:r>
          </w:p>
        </w:tc>
        <w:tc>
          <w:tcPr>
            <w:tcW w:w="2780" w:type="dxa"/>
          </w:tcPr>
          <w:p w14:paraId="551F498B" w14:textId="77777777" w:rsidR="002A5391" w:rsidRDefault="00134BE3" w:rsidP="007F6EBB">
            <w:pPr>
              <w:widowControl w:val="0"/>
              <w:rPr>
                <w:rFonts w:asciiTheme="minorHAnsi" w:hAnsiTheme="minorHAnsi"/>
                <w:color w:val="000000"/>
              </w:rPr>
            </w:pPr>
            <w:r>
              <w:rPr>
                <w:rFonts w:asciiTheme="minorHAnsi" w:hAnsiTheme="minorHAnsi"/>
                <w:color w:val="000000"/>
              </w:rPr>
              <w:t>Attendance</w:t>
            </w:r>
          </w:p>
          <w:p w14:paraId="5F1D33B1" w14:textId="77777777" w:rsidR="00134BE3" w:rsidRDefault="00134BE3" w:rsidP="007F6EBB">
            <w:pPr>
              <w:widowControl w:val="0"/>
              <w:rPr>
                <w:rFonts w:asciiTheme="minorHAnsi" w:hAnsiTheme="minorHAnsi"/>
                <w:color w:val="000000"/>
              </w:rPr>
            </w:pPr>
            <w:r>
              <w:rPr>
                <w:rFonts w:asciiTheme="minorHAnsi" w:hAnsiTheme="minorHAnsi"/>
                <w:color w:val="000000"/>
              </w:rPr>
              <w:t xml:space="preserve">Class participation </w:t>
            </w:r>
          </w:p>
          <w:p w14:paraId="4CB075BE" w14:textId="28A1CB66" w:rsidR="00134BE3" w:rsidRDefault="00134BE3" w:rsidP="007F6EBB">
            <w:pPr>
              <w:widowControl w:val="0"/>
              <w:rPr>
                <w:rFonts w:asciiTheme="minorHAnsi" w:hAnsiTheme="minorHAnsi"/>
                <w:color w:val="000000"/>
              </w:rPr>
            </w:pPr>
            <w:r>
              <w:rPr>
                <w:rFonts w:asciiTheme="minorHAnsi" w:hAnsiTheme="minorHAnsi"/>
                <w:color w:val="000000"/>
              </w:rPr>
              <w:t>Classwork</w:t>
            </w:r>
          </w:p>
          <w:p w14:paraId="14E0C6C1" w14:textId="77777777" w:rsidR="00134BE3" w:rsidRDefault="00134BE3" w:rsidP="007F6EBB">
            <w:pPr>
              <w:widowControl w:val="0"/>
              <w:rPr>
                <w:rFonts w:asciiTheme="minorHAnsi" w:hAnsiTheme="minorHAnsi"/>
                <w:color w:val="000000"/>
              </w:rPr>
            </w:pPr>
            <w:r>
              <w:rPr>
                <w:rFonts w:asciiTheme="minorHAnsi" w:hAnsiTheme="minorHAnsi"/>
                <w:color w:val="000000"/>
              </w:rPr>
              <w:t xml:space="preserve">Presentation </w:t>
            </w:r>
          </w:p>
          <w:p w14:paraId="281006C3" w14:textId="43832C06" w:rsidR="00CE22D8" w:rsidRDefault="00CE22D8" w:rsidP="007F6EBB">
            <w:pPr>
              <w:widowControl w:val="0"/>
              <w:rPr>
                <w:rFonts w:asciiTheme="minorHAnsi" w:hAnsiTheme="minorHAnsi"/>
                <w:color w:val="000000"/>
              </w:rPr>
            </w:pPr>
            <w:r>
              <w:rPr>
                <w:rFonts w:asciiTheme="minorHAnsi" w:hAnsiTheme="minorHAnsi"/>
                <w:color w:val="000000"/>
              </w:rPr>
              <w:t>Comprehensive Exam</w:t>
            </w:r>
          </w:p>
        </w:tc>
      </w:tr>
      <w:tr w:rsidR="00134BE3" w14:paraId="5478BD80" w14:textId="77777777" w:rsidTr="0009737C">
        <w:trPr>
          <w:cantSplit/>
        </w:trPr>
        <w:tc>
          <w:tcPr>
            <w:tcW w:w="4273" w:type="dxa"/>
          </w:tcPr>
          <w:p w14:paraId="1DD12081" w14:textId="1B02483F" w:rsidR="00134BE3" w:rsidRPr="00C63D52" w:rsidRDefault="00CE22D8" w:rsidP="007F6EBB">
            <w:pPr>
              <w:spacing w:line="240" w:lineRule="auto"/>
              <w:rPr>
                <w:rFonts w:asciiTheme="minorHAnsi" w:hAnsiTheme="minorHAnsi"/>
                <w:color w:val="000000"/>
              </w:rPr>
            </w:pPr>
            <w:r w:rsidRPr="00C63D52">
              <w:rPr>
                <w:rFonts w:asciiTheme="minorHAnsi" w:hAnsiTheme="minorHAnsi"/>
                <w:color w:val="000000"/>
              </w:rPr>
              <w:t>Demonstrate an understanding of the process of integrating academic outcome data and present levels of performance (PLAFP), with transition data to inform academic and transition goals and services</w:t>
            </w:r>
          </w:p>
        </w:tc>
        <w:tc>
          <w:tcPr>
            <w:tcW w:w="3727" w:type="dxa"/>
          </w:tcPr>
          <w:p w14:paraId="58AE447B" w14:textId="2265CDA0" w:rsidR="00CE22D8" w:rsidRDefault="00CE22D8" w:rsidP="00CE22D8">
            <w:pPr>
              <w:spacing w:line="240" w:lineRule="auto"/>
              <w:rPr>
                <w:rFonts w:asciiTheme="minorHAnsi" w:hAnsiTheme="minorHAnsi"/>
              </w:rPr>
            </w:pPr>
            <w:r>
              <w:t xml:space="preserve">FSEHD: </w:t>
            </w:r>
            <w:r w:rsidRPr="00AD1732">
              <w:rPr>
                <w:rFonts w:asciiTheme="minorHAnsi" w:hAnsiTheme="minorHAnsi"/>
              </w:rPr>
              <w:t>Knowledge: Domain-specific knowledge: Information Literacy</w:t>
            </w:r>
          </w:p>
          <w:p w14:paraId="368E3909" w14:textId="77777777" w:rsidR="00CE22D8" w:rsidRPr="00CE22D8" w:rsidRDefault="00CE22D8" w:rsidP="00CE22D8">
            <w:pPr>
              <w:spacing w:line="240" w:lineRule="auto"/>
            </w:pPr>
          </w:p>
          <w:p w14:paraId="092ED3CF" w14:textId="77777777" w:rsidR="00CE22D8" w:rsidRDefault="00CE22D8" w:rsidP="00CE22D8">
            <w:pPr>
              <w:spacing w:line="240" w:lineRule="auto"/>
              <w:rPr>
                <w:rFonts w:asciiTheme="minorHAnsi" w:hAnsiTheme="minorHAnsi"/>
              </w:rPr>
            </w:pPr>
            <w:r w:rsidRPr="00AD1732">
              <w:rPr>
                <w:rFonts w:asciiTheme="minorHAnsi" w:hAnsiTheme="minorHAnsi"/>
              </w:rPr>
              <w:t>Practice: Evidence-based Decision Making; Diversity of Practice</w:t>
            </w:r>
          </w:p>
          <w:p w14:paraId="64804EE4" w14:textId="77777777" w:rsidR="00CE22D8" w:rsidRDefault="00CE22D8" w:rsidP="00CE22D8">
            <w:pPr>
              <w:spacing w:line="240" w:lineRule="auto"/>
              <w:rPr>
                <w:rFonts w:asciiTheme="minorHAnsi" w:hAnsiTheme="minorHAnsi"/>
              </w:rPr>
            </w:pPr>
          </w:p>
          <w:p w14:paraId="7AD8BC0B" w14:textId="60605D64" w:rsidR="00CE22D8" w:rsidRDefault="00CE22D8" w:rsidP="00CA4F95">
            <w:pPr>
              <w:spacing w:line="240" w:lineRule="auto"/>
            </w:pPr>
            <w:r>
              <w:t xml:space="preserve">CEC: </w:t>
            </w:r>
            <w:r w:rsidR="00CA4F95">
              <w:t xml:space="preserve"> </w:t>
            </w:r>
            <w:r>
              <w:rPr>
                <w:rFonts w:asciiTheme="minorHAnsi" w:eastAsiaTheme="minorHAnsi" w:hAnsiTheme="minorHAnsi"/>
              </w:rPr>
              <w:t>SETRS.</w:t>
            </w:r>
            <w:proofErr w:type="gramStart"/>
            <w:r>
              <w:rPr>
                <w:rFonts w:asciiTheme="minorHAnsi" w:eastAsiaTheme="minorHAnsi" w:hAnsiTheme="minorHAnsi"/>
              </w:rPr>
              <w:t>1.S</w:t>
            </w:r>
            <w:proofErr w:type="gramEnd"/>
            <w:r>
              <w:rPr>
                <w:rFonts w:asciiTheme="minorHAnsi" w:eastAsiaTheme="minorHAnsi" w:hAnsiTheme="minorHAnsi"/>
              </w:rPr>
              <w:t>4</w:t>
            </w:r>
            <w:r w:rsidR="00CA4F95">
              <w:rPr>
                <w:rFonts w:asciiTheme="minorHAnsi" w:eastAsiaTheme="minorHAnsi" w:hAnsiTheme="minorHAnsi"/>
              </w:rPr>
              <w:t xml:space="preserve">; </w:t>
            </w:r>
            <w:r w:rsidRPr="00AD1732">
              <w:rPr>
                <w:rFonts w:asciiTheme="minorHAnsi" w:eastAsiaTheme="minorHAnsi" w:hAnsiTheme="minorHAnsi"/>
              </w:rPr>
              <w:t>SETRS.3.K3</w:t>
            </w:r>
          </w:p>
        </w:tc>
        <w:tc>
          <w:tcPr>
            <w:tcW w:w="2780" w:type="dxa"/>
          </w:tcPr>
          <w:p w14:paraId="3992875D" w14:textId="77777777" w:rsidR="00134BE3" w:rsidRDefault="00CE22D8" w:rsidP="007F6EBB">
            <w:pPr>
              <w:widowControl w:val="0"/>
              <w:rPr>
                <w:rFonts w:asciiTheme="minorHAnsi" w:hAnsiTheme="minorHAnsi"/>
                <w:color w:val="000000"/>
              </w:rPr>
            </w:pPr>
            <w:r>
              <w:rPr>
                <w:rFonts w:asciiTheme="minorHAnsi" w:hAnsiTheme="minorHAnsi"/>
                <w:color w:val="000000"/>
              </w:rPr>
              <w:t>Attendance</w:t>
            </w:r>
          </w:p>
          <w:p w14:paraId="05A6CFBF" w14:textId="77777777" w:rsidR="00CE22D8" w:rsidRDefault="00CE22D8" w:rsidP="007F6EBB">
            <w:pPr>
              <w:widowControl w:val="0"/>
              <w:rPr>
                <w:rFonts w:asciiTheme="minorHAnsi" w:hAnsiTheme="minorHAnsi"/>
                <w:color w:val="000000"/>
              </w:rPr>
            </w:pPr>
            <w:r>
              <w:rPr>
                <w:rFonts w:asciiTheme="minorHAnsi" w:hAnsiTheme="minorHAnsi"/>
                <w:color w:val="000000"/>
              </w:rPr>
              <w:t xml:space="preserve">Class participation </w:t>
            </w:r>
          </w:p>
          <w:p w14:paraId="4144047D" w14:textId="77777777" w:rsidR="00CE22D8" w:rsidRDefault="00CE22D8" w:rsidP="007F6EBB">
            <w:pPr>
              <w:widowControl w:val="0"/>
              <w:rPr>
                <w:rFonts w:asciiTheme="minorHAnsi" w:hAnsiTheme="minorHAnsi"/>
                <w:color w:val="000000"/>
              </w:rPr>
            </w:pPr>
            <w:r>
              <w:rPr>
                <w:rFonts w:asciiTheme="minorHAnsi" w:hAnsiTheme="minorHAnsi"/>
                <w:color w:val="000000"/>
              </w:rPr>
              <w:t>Project</w:t>
            </w:r>
          </w:p>
          <w:p w14:paraId="67B2E143" w14:textId="280891DA" w:rsidR="00CE22D8" w:rsidRDefault="00CE22D8" w:rsidP="007F6EBB">
            <w:pPr>
              <w:widowControl w:val="0"/>
              <w:rPr>
                <w:rFonts w:asciiTheme="minorHAnsi" w:hAnsiTheme="minorHAnsi"/>
                <w:color w:val="000000"/>
              </w:rPr>
            </w:pPr>
            <w:r>
              <w:rPr>
                <w:rFonts w:asciiTheme="minorHAnsi" w:hAnsiTheme="minorHAnsi"/>
                <w:color w:val="000000"/>
              </w:rPr>
              <w:t>Comprehensive Exam</w:t>
            </w:r>
          </w:p>
        </w:tc>
      </w:tr>
      <w:tr w:rsidR="00CE22D8" w14:paraId="6BDC13E1" w14:textId="77777777" w:rsidTr="0009737C">
        <w:trPr>
          <w:cantSplit/>
        </w:trPr>
        <w:tc>
          <w:tcPr>
            <w:tcW w:w="4273" w:type="dxa"/>
          </w:tcPr>
          <w:p w14:paraId="249676BB" w14:textId="745202EC" w:rsidR="00CE22D8" w:rsidRPr="00C63D52" w:rsidRDefault="00CE22D8" w:rsidP="007F6EBB">
            <w:pPr>
              <w:spacing w:line="240" w:lineRule="auto"/>
              <w:rPr>
                <w:rFonts w:asciiTheme="minorHAnsi" w:hAnsiTheme="minorHAnsi"/>
                <w:color w:val="000000"/>
              </w:rPr>
            </w:pPr>
            <w:r w:rsidRPr="00C63D52">
              <w:rPr>
                <w:rFonts w:asciiTheme="minorHAnsi" w:hAnsiTheme="minorHAnsi"/>
                <w:color w:val="000000"/>
              </w:rPr>
              <w:t>Demonstrate the ability to develop an appropriate, individualized longitudinal transition plan for a fictitious student aged 14 or over with a disability.  All students in the class will use the same fictitious student. Post-secondary outcomes in all three areas of transition are to be addressed.</w:t>
            </w:r>
          </w:p>
        </w:tc>
        <w:tc>
          <w:tcPr>
            <w:tcW w:w="3727" w:type="dxa"/>
          </w:tcPr>
          <w:p w14:paraId="63D2F8FE" w14:textId="3675F3C9" w:rsidR="00CE22D8" w:rsidRPr="00CE22D8" w:rsidRDefault="00CE22D8" w:rsidP="00CE22D8">
            <w:pPr>
              <w:spacing w:line="240" w:lineRule="auto"/>
            </w:pPr>
            <w:r>
              <w:t xml:space="preserve">FSEHD: </w:t>
            </w:r>
            <w:r w:rsidRPr="00AD1732">
              <w:rPr>
                <w:rFonts w:asciiTheme="minorHAnsi" w:hAnsiTheme="minorHAnsi"/>
              </w:rPr>
              <w:t xml:space="preserve">Knowledge: Domain-Specific </w:t>
            </w:r>
            <w:proofErr w:type="gramStart"/>
            <w:r w:rsidRPr="00AD1732">
              <w:rPr>
                <w:rFonts w:asciiTheme="minorHAnsi" w:hAnsiTheme="minorHAnsi"/>
              </w:rPr>
              <w:t>Knowledge,  Informational</w:t>
            </w:r>
            <w:proofErr w:type="gramEnd"/>
            <w:r w:rsidRPr="00AD1732">
              <w:rPr>
                <w:rFonts w:asciiTheme="minorHAnsi" w:hAnsiTheme="minorHAnsi"/>
              </w:rPr>
              <w:t xml:space="preserve"> Literacy, Contextual Perspective</w:t>
            </w:r>
          </w:p>
          <w:p w14:paraId="2FA70BA1" w14:textId="77777777" w:rsidR="00CE22D8" w:rsidRDefault="00CE22D8" w:rsidP="00CE22D8">
            <w:pPr>
              <w:pStyle w:val="NormalWeb"/>
              <w:rPr>
                <w:rFonts w:asciiTheme="minorHAnsi" w:hAnsiTheme="minorHAnsi"/>
                <w:sz w:val="22"/>
                <w:szCs w:val="22"/>
              </w:rPr>
            </w:pPr>
            <w:r w:rsidRPr="00AD1732">
              <w:rPr>
                <w:rFonts w:asciiTheme="minorHAnsi" w:hAnsiTheme="minorHAnsi"/>
                <w:sz w:val="22"/>
                <w:szCs w:val="22"/>
              </w:rPr>
              <w:t xml:space="preserve">Practice: Evidence-based Decision </w:t>
            </w:r>
            <w:proofErr w:type="gramStart"/>
            <w:r w:rsidRPr="00AD1732">
              <w:rPr>
                <w:rFonts w:asciiTheme="minorHAnsi" w:hAnsiTheme="minorHAnsi"/>
                <w:sz w:val="22"/>
                <w:szCs w:val="22"/>
              </w:rPr>
              <w:t>Making,  Technology</w:t>
            </w:r>
            <w:proofErr w:type="gramEnd"/>
            <w:r w:rsidRPr="00AD1732">
              <w:rPr>
                <w:rFonts w:asciiTheme="minorHAnsi" w:hAnsiTheme="minorHAnsi"/>
                <w:sz w:val="22"/>
                <w:szCs w:val="22"/>
              </w:rPr>
              <w:t xml:space="preserve"> Use, Professional Identity Development</w:t>
            </w:r>
          </w:p>
          <w:p w14:paraId="6635E2A4" w14:textId="0F7E5AA8" w:rsidR="00CA4F95" w:rsidRDefault="00CE22D8" w:rsidP="00CA4F95">
            <w:pPr>
              <w:autoSpaceDE w:val="0"/>
              <w:autoSpaceDN w:val="0"/>
              <w:adjustRightInd w:val="0"/>
              <w:spacing w:line="221" w:lineRule="atLeast"/>
              <w:rPr>
                <w:rFonts w:asciiTheme="minorHAnsi" w:eastAsiaTheme="minorHAnsi" w:hAnsiTheme="minorHAnsi"/>
                <w:color w:val="000000"/>
              </w:rPr>
            </w:pPr>
            <w:r>
              <w:rPr>
                <w:rFonts w:asciiTheme="minorHAnsi" w:hAnsiTheme="minorHAnsi"/>
              </w:rPr>
              <w:t xml:space="preserve">CEC: </w:t>
            </w:r>
            <w:r w:rsidR="00CA4F95" w:rsidRPr="00AD1732">
              <w:rPr>
                <w:rFonts w:asciiTheme="minorHAnsi" w:eastAsiaTheme="minorHAnsi" w:hAnsiTheme="minorHAnsi"/>
                <w:color w:val="000000"/>
              </w:rPr>
              <w:t>SETRS.</w:t>
            </w:r>
            <w:proofErr w:type="gramStart"/>
            <w:r w:rsidR="00CA4F95" w:rsidRPr="00AD1732">
              <w:rPr>
                <w:rFonts w:asciiTheme="minorHAnsi" w:eastAsiaTheme="minorHAnsi" w:hAnsiTheme="minorHAnsi"/>
                <w:color w:val="000000"/>
              </w:rPr>
              <w:t>1.S</w:t>
            </w:r>
            <w:proofErr w:type="gramEnd"/>
            <w:r w:rsidR="00CA4F95" w:rsidRPr="00AD1732">
              <w:rPr>
                <w:rFonts w:asciiTheme="minorHAnsi" w:eastAsiaTheme="minorHAnsi" w:hAnsiTheme="minorHAnsi"/>
                <w:color w:val="000000"/>
              </w:rPr>
              <w:t>1</w:t>
            </w:r>
            <w:r w:rsidR="00CA4F95">
              <w:rPr>
                <w:rFonts w:asciiTheme="minorHAnsi" w:eastAsiaTheme="minorHAnsi" w:hAnsiTheme="minorHAnsi"/>
                <w:color w:val="000000"/>
              </w:rPr>
              <w:t xml:space="preserve">; </w:t>
            </w:r>
            <w:r w:rsidR="00CA4F95" w:rsidRPr="00AD1732">
              <w:rPr>
                <w:rFonts w:asciiTheme="minorHAnsi" w:eastAsiaTheme="minorHAnsi" w:hAnsiTheme="minorHAnsi"/>
                <w:color w:val="000000"/>
              </w:rPr>
              <w:t>SETRS.1.K1</w:t>
            </w:r>
            <w:r w:rsidR="00CA4F95">
              <w:rPr>
                <w:rFonts w:asciiTheme="minorHAnsi" w:eastAsiaTheme="minorHAnsi" w:hAnsiTheme="minorHAnsi"/>
                <w:color w:val="000000"/>
              </w:rPr>
              <w:t>;</w:t>
            </w:r>
          </w:p>
          <w:p w14:paraId="209DFB14" w14:textId="6FF6AEF4" w:rsidR="00CE22D8" w:rsidRPr="00CA4F95" w:rsidRDefault="00CA4F95" w:rsidP="00CA4F95">
            <w:pPr>
              <w:autoSpaceDE w:val="0"/>
              <w:autoSpaceDN w:val="0"/>
              <w:adjustRightInd w:val="0"/>
              <w:spacing w:line="221" w:lineRule="atLeast"/>
              <w:rPr>
                <w:rFonts w:asciiTheme="minorHAnsi" w:eastAsiaTheme="minorHAnsi" w:hAnsiTheme="minorHAnsi"/>
                <w:color w:val="000000"/>
              </w:rPr>
            </w:pPr>
            <w:r>
              <w:rPr>
                <w:rFonts w:asciiTheme="minorHAnsi" w:eastAsiaTheme="minorHAnsi" w:hAnsiTheme="minorHAnsi"/>
                <w:color w:val="000000"/>
              </w:rPr>
              <w:t>SETRS.</w:t>
            </w:r>
            <w:proofErr w:type="gramStart"/>
            <w:r>
              <w:rPr>
                <w:rFonts w:asciiTheme="minorHAnsi" w:eastAsiaTheme="minorHAnsi" w:hAnsiTheme="minorHAnsi"/>
                <w:color w:val="000000"/>
              </w:rPr>
              <w:t>4.S</w:t>
            </w:r>
            <w:proofErr w:type="gramEnd"/>
            <w:r>
              <w:rPr>
                <w:rFonts w:asciiTheme="minorHAnsi" w:eastAsiaTheme="minorHAnsi" w:hAnsiTheme="minorHAnsi"/>
                <w:color w:val="000000"/>
              </w:rPr>
              <w:t>3; SETRS.7.S1; SETRS.7.S10</w:t>
            </w:r>
          </w:p>
          <w:p w14:paraId="3B559C81" w14:textId="77777777" w:rsidR="00CE22D8" w:rsidRDefault="00CE22D8" w:rsidP="00CE22D8">
            <w:pPr>
              <w:spacing w:line="240" w:lineRule="auto"/>
            </w:pPr>
          </w:p>
        </w:tc>
        <w:tc>
          <w:tcPr>
            <w:tcW w:w="2780" w:type="dxa"/>
          </w:tcPr>
          <w:p w14:paraId="468E2DDB" w14:textId="77777777" w:rsidR="00CE22D8" w:rsidRDefault="00CE22D8" w:rsidP="007F6EBB">
            <w:pPr>
              <w:widowControl w:val="0"/>
              <w:rPr>
                <w:rFonts w:asciiTheme="minorHAnsi" w:hAnsiTheme="minorHAnsi"/>
                <w:color w:val="000000"/>
              </w:rPr>
            </w:pPr>
            <w:r>
              <w:rPr>
                <w:rFonts w:asciiTheme="minorHAnsi" w:hAnsiTheme="minorHAnsi"/>
                <w:color w:val="000000"/>
              </w:rPr>
              <w:t>Attendance</w:t>
            </w:r>
          </w:p>
          <w:p w14:paraId="713755AB" w14:textId="77777777" w:rsidR="00CE22D8" w:rsidRDefault="00CE22D8" w:rsidP="007F6EBB">
            <w:pPr>
              <w:widowControl w:val="0"/>
              <w:rPr>
                <w:rFonts w:asciiTheme="minorHAnsi" w:hAnsiTheme="minorHAnsi"/>
                <w:color w:val="000000"/>
              </w:rPr>
            </w:pPr>
            <w:r>
              <w:rPr>
                <w:rFonts w:asciiTheme="minorHAnsi" w:hAnsiTheme="minorHAnsi"/>
                <w:color w:val="000000"/>
              </w:rPr>
              <w:t xml:space="preserve">Class participation </w:t>
            </w:r>
          </w:p>
          <w:p w14:paraId="3482D31E" w14:textId="77777777" w:rsidR="00CE22D8" w:rsidRDefault="00CE22D8" w:rsidP="007F6EBB">
            <w:pPr>
              <w:widowControl w:val="0"/>
              <w:rPr>
                <w:rFonts w:asciiTheme="minorHAnsi" w:hAnsiTheme="minorHAnsi"/>
                <w:color w:val="000000"/>
              </w:rPr>
            </w:pPr>
            <w:r>
              <w:rPr>
                <w:rFonts w:asciiTheme="minorHAnsi" w:hAnsiTheme="minorHAnsi"/>
                <w:color w:val="000000"/>
              </w:rPr>
              <w:t>Presentation and final project: Course artifact</w:t>
            </w:r>
          </w:p>
          <w:p w14:paraId="5E61E005" w14:textId="293401F3" w:rsidR="00CE22D8" w:rsidRDefault="00CE22D8" w:rsidP="007F6EBB">
            <w:pPr>
              <w:widowControl w:val="0"/>
              <w:rPr>
                <w:rFonts w:asciiTheme="minorHAnsi" w:hAnsiTheme="minorHAnsi"/>
                <w:color w:val="000000"/>
              </w:rPr>
            </w:pPr>
            <w:r>
              <w:rPr>
                <w:rFonts w:asciiTheme="minorHAnsi" w:hAnsiTheme="minorHAnsi"/>
                <w:color w:val="000000"/>
              </w:rPr>
              <w:t>Comprehensive Exam</w:t>
            </w:r>
          </w:p>
        </w:tc>
      </w:tr>
      <w:tr w:rsidR="00CE22D8" w14:paraId="0A0A06D1" w14:textId="77777777" w:rsidTr="0009737C">
        <w:trPr>
          <w:cantSplit/>
        </w:trPr>
        <w:tc>
          <w:tcPr>
            <w:tcW w:w="4273" w:type="dxa"/>
          </w:tcPr>
          <w:p w14:paraId="4F91EE5C" w14:textId="4843E423" w:rsidR="00CE22D8" w:rsidRPr="00C63D52" w:rsidRDefault="00CE22D8" w:rsidP="007F6EBB">
            <w:pPr>
              <w:spacing w:line="240" w:lineRule="auto"/>
              <w:rPr>
                <w:rFonts w:asciiTheme="minorHAnsi" w:hAnsiTheme="minorHAnsi"/>
                <w:color w:val="000000"/>
              </w:rPr>
            </w:pPr>
            <w:r>
              <w:rPr>
                <w:rFonts w:asciiTheme="minorHAnsi" w:hAnsiTheme="minorHAnsi"/>
                <w:color w:val="000000"/>
              </w:rPr>
              <w:t xml:space="preserve">Fieldwork: Students will be required to attend one TAC meeting </w:t>
            </w:r>
            <w:proofErr w:type="gramStart"/>
            <w:r>
              <w:rPr>
                <w:rFonts w:asciiTheme="minorHAnsi" w:hAnsiTheme="minorHAnsi"/>
                <w:color w:val="000000"/>
              </w:rPr>
              <w:t>during the course of</w:t>
            </w:r>
            <w:proofErr w:type="gramEnd"/>
            <w:r>
              <w:rPr>
                <w:rFonts w:asciiTheme="minorHAnsi" w:hAnsiTheme="minorHAnsi"/>
                <w:color w:val="000000"/>
              </w:rPr>
              <w:t xml:space="preserve"> the semester OR attend one district-based Transition Fair during the semester</w:t>
            </w:r>
          </w:p>
        </w:tc>
        <w:tc>
          <w:tcPr>
            <w:tcW w:w="3727" w:type="dxa"/>
          </w:tcPr>
          <w:p w14:paraId="73ACFBD6" w14:textId="77777777" w:rsidR="00CE22D8" w:rsidRDefault="00CE22D8" w:rsidP="00CE22D8">
            <w:pPr>
              <w:spacing w:line="240" w:lineRule="auto"/>
            </w:pPr>
            <w:r>
              <w:t>FSEHD:</w:t>
            </w:r>
          </w:p>
          <w:p w14:paraId="41B956A0" w14:textId="4E462419" w:rsidR="00CE22D8" w:rsidRDefault="00CE22D8" w:rsidP="00CE22D8">
            <w:pPr>
              <w:spacing w:line="240" w:lineRule="auto"/>
              <w:rPr>
                <w:rFonts w:asciiTheme="minorHAnsi" w:hAnsiTheme="minorHAnsi"/>
              </w:rPr>
            </w:pPr>
            <w:r w:rsidRPr="00AD1732">
              <w:rPr>
                <w:rFonts w:asciiTheme="minorHAnsi" w:hAnsiTheme="minorHAnsi"/>
              </w:rPr>
              <w:t>Knowledge: Domain-specific knowledge; Professional Awareness</w:t>
            </w:r>
          </w:p>
          <w:p w14:paraId="73E3A786" w14:textId="77777777" w:rsidR="00CE22D8" w:rsidRPr="00CE22D8" w:rsidRDefault="00CE22D8" w:rsidP="00CE22D8">
            <w:pPr>
              <w:spacing w:line="240" w:lineRule="auto"/>
            </w:pPr>
          </w:p>
          <w:p w14:paraId="7F9EB4B7" w14:textId="77777777" w:rsidR="00CE22D8" w:rsidRDefault="00CE22D8" w:rsidP="00CE22D8">
            <w:pPr>
              <w:spacing w:line="240" w:lineRule="auto"/>
              <w:rPr>
                <w:rFonts w:asciiTheme="minorHAnsi" w:hAnsiTheme="minorHAnsi"/>
              </w:rPr>
            </w:pPr>
            <w:r w:rsidRPr="00AD1732">
              <w:rPr>
                <w:rFonts w:asciiTheme="minorHAnsi" w:hAnsiTheme="minorHAnsi"/>
              </w:rPr>
              <w:t>Practice: Professional Identify Development</w:t>
            </w:r>
          </w:p>
          <w:p w14:paraId="0687C632" w14:textId="77777777" w:rsidR="00CE22D8" w:rsidRPr="0090422B" w:rsidRDefault="00CE22D8" w:rsidP="00CE22D8">
            <w:pPr>
              <w:spacing w:line="240" w:lineRule="auto"/>
              <w:rPr>
                <w:rFonts w:asciiTheme="minorHAnsi" w:hAnsiTheme="minorHAnsi"/>
                <w:sz w:val="16"/>
                <w:szCs w:val="16"/>
              </w:rPr>
            </w:pPr>
          </w:p>
          <w:p w14:paraId="2C72276D" w14:textId="340FBA4D" w:rsidR="00CE22D8" w:rsidRDefault="00CE22D8" w:rsidP="00667074">
            <w:pPr>
              <w:spacing w:line="240" w:lineRule="auto"/>
            </w:pPr>
            <w:r>
              <w:rPr>
                <w:rFonts w:asciiTheme="minorHAnsi" w:hAnsiTheme="minorHAnsi"/>
              </w:rPr>
              <w:t xml:space="preserve">CEC: </w:t>
            </w:r>
            <w:r w:rsidRPr="00AD1732">
              <w:rPr>
                <w:rFonts w:asciiTheme="minorHAnsi" w:eastAsiaTheme="minorHAnsi" w:hAnsiTheme="minorHAnsi"/>
              </w:rPr>
              <w:t>SETRS.</w:t>
            </w:r>
            <w:proofErr w:type="gramStart"/>
            <w:r w:rsidRPr="00AD1732">
              <w:rPr>
                <w:rFonts w:asciiTheme="minorHAnsi" w:eastAsiaTheme="minorHAnsi" w:hAnsiTheme="minorHAnsi"/>
              </w:rPr>
              <w:t>6.K</w:t>
            </w:r>
            <w:proofErr w:type="gramEnd"/>
            <w:r w:rsidRPr="00AD1732">
              <w:rPr>
                <w:rFonts w:asciiTheme="minorHAnsi" w:eastAsiaTheme="minorHAnsi" w:hAnsiTheme="minorHAnsi"/>
              </w:rPr>
              <w:t>1</w:t>
            </w:r>
            <w:r w:rsidR="00667074">
              <w:rPr>
                <w:rFonts w:asciiTheme="minorHAnsi" w:eastAsiaTheme="minorHAnsi" w:hAnsiTheme="minorHAnsi"/>
              </w:rPr>
              <w:t xml:space="preserve">; </w:t>
            </w:r>
            <w:r w:rsidRPr="00AD1732">
              <w:rPr>
                <w:rFonts w:asciiTheme="minorHAnsi" w:eastAsiaTheme="minorHAnsi" w:hAnsiTheme="minorHAnsi"/>
              </w:rPr>
              <w:t>SETRS.6.K2</w:t>
            </w:r>
            <w:r w:rsidR="00667074">
              <w:rPr>
                <w:rFonts w:asciiTheme="minorHAnsi" w:eastAsiaTheme="minorHAnsi" w:hAnsiTheme="minorHAnsi"/>
              </w:rPr>
              <w:t xml:space="preserve">; </w:t>
            </w:r>
            <w:r w:rsidRPr="00AD1732">
              <w:rPr>
                <w:rFonts w:asciiTheme="minorHAnsi" w:eastAsiaTheme="minorHAnsi" w:hAnsiTheme="minorHAnsi"/>
              </w:rPr>
              <w:t>SETRS.6.S2</w:t>
            </w:r>
            <w:r w:rsidR="00667074">
              <w:rPr>
                <w:rFonts w:asciiTheme="minorHAnsi" w:eastAsiaTheme="minorHAnsi" w:hAnsiTheme="minorHAnsi"/>
              </w:rPr>
              <w:t xml:space="preserve">; </w:t>
            </w:r>
            <w:r w:rsidRPr="00AD1732">
              <w:rPr>
                <w:rFonts w:asciiTheme="minorHAnsi" w:eastAsiaTheme="minorHAnsi" w:hAnsiTheme="minorHAnsi"/>
              </w:rPr>
              <w:t>SETRS.7.K1</w:t>
            </w:r>
          </w:p>
        </w:tc>
        <w:tc>
          <w:tcPr>
            <w:tcW w:w="2780" w:type="dxa"/>
          </w:tcPr>
          <w:p w14:paraId="48665E6C" w14:textId="77777777" w:rsidR="00CE22D8" w:rsidRDefault="00CE22D8" w:rsidP="007F6EBB">
            <w:pPr>
              <w:widowControl w:val="0"/>
              <w:rPr>
                <w:rFonts w:asciiTheme="minorHAnsi" w:hAnsiTheme="minorHAnsi"/>
                <w:color w:val="000000"/>
              </w:rPr>
            </w:pPr>
            <w:r>
              <w:rPr>
                <w:rFonts w:asciiTheme="minorHAnsi" w:hAnsiTheme="minorHAnsi"/>
                <w:color w:val="000000"/>
              </w:rPr>
              <w:t>Attendance</w:t>
            </w:r>
          </w:p>
          <w:p w14:paraId="4B3B8924" w14:textId="77777777" w:rsidR="00CE22D8" w:rsidRDefault="00CE22D8" w:rsidP="007F6EBB">
            <w:pPr>
              <w:widowControl w:val="0"/>
              <w:rPr>
                <w:rFonts w:asciiTheme="minorHAnsi" w:hAnsiTheme="minorHAnsi"/>
                <w:color w:val="000000"/>
              </w:rPr>
            </w:pPr>
            <w:r>
              <w:rPr>
                <w:rFonts w:asciiTheme="minorHAnsi" w:hAnsiTheme="minorHAnsi"/>
                <w:color w:val="000000"/>
              </w:rPr>
              <w:t>Paper</w:t>
            </w:r>
          </w:p>
          <w:p w14:paraId="325F3892" w14:textId="4608F6F4" w:rsidR="00CE22D8" w:rsidRDefault="00CE22D8" w:rsidP="007F6EBB">
            <w:pPr>
              <w:widowControl w:val="0"/>
              <w:rPr>
                <w:rFonts w:asciiTheme="minorHAnsi" w:hAnsiTheme="minorHAnsi"/>
                <w:color w:val="000000"/>
              </w:rPr>
            </w:pPr>
            <w:r>
              <w:rPr>
                <w:rFonts w:asciiTheme="minorHAnsi" w:hAnsiTheme="minorHAnsi"/>
                <w:color w:val="000000"/>
              </w:rPr>
              <w:t>Comprehensive Exam</w:t>
            </w:r>
          </w:p>
        </w:tc>
      </w:tr>
    </w:tbl>
    <w:p w14:paraId="120281BA" w14:textId="1A412A0E"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BE55B7">
              <w:rPr>
                <w:rStyle w:val="Hyperlink"/>
                <w:b/>
              </w:rPr>
              <w:t>Do NOT insert a full syllabus, only the topical outline</w:t>
            </w:r>
          </w:p>
        </w:tc>
      </w:tr>
      <w:tr w:rsidR="00F64260" w14:paraId="12F1D273" w14:textId="77777777">
        <w:tc>
          <w:tcPr>
            <w:tcW w:w="11016" w:type="dxa"/>
          </w:tcPr>
          <w:p w14:paraId="3CD2DD9F" w14:textId="77777777" w:rsidR="00BE55B7" w:rsidRDefault="00BE55B7" w:rsidP="00BE55B7">
            <w:pPr>
              <w:spacing w:line="240" w:lineRule="auto"/>
            </w:pPr>
            <w:bookmarkStart w:id="27" w:name="outline"/>
            <w:bookmarkEnd w:id="27"/>
          </w:p>
          <w:p w14:paraId="6BC75426" w14:textId="32B84850" w:rsidR="00F64260" w:rsidRDefault="00C629CB" w:rsidP="00BE55B7">
            <w:pPr>
              <w:spacing w:line="240" w:lineRule="auto"/>
            </w:pPr>
            <w:r>
              <w:t>Topic 1</w:t>
            </w:r>
            <w:r w:rsidR="00A40CEE">
              <w:t xml:space="preserve">: Evolution of theories, practices and beliefs about individuals with </w:t>
            </w:r>
            <w:r w:rsidR="00A91F56">
              <w:t>exceptionalities</w:t>
            </w:r>
            <w:r w:rsidR="00A40CEE">
              <w:t xml:space="preserve"> has changed over time and how the</w:t>
            </w:r>
            <w:r w:rsidR="00B84E54">
              <w:t xml:space="preserve">y </w:t>
            </w:r>
            <w:r w:rsidR="00A40CEE">
              <w:t xml:space="preserve">impact the following across the lifespan: </w:t>
            </w:r>
          </w:p>
          <w:p w14:paraId="58F42DB0" w14:textId="32C8A531" w:rsidR="00F64260" w:rsidRDefault="00A40CEE" w:rsidP="000556B3">
            <w:pPr>
              <w:pStyle w:val="ListParagraph"/>
              <w:numPr>
                <w:ilvl w:val="1"/>
                <w:numId w:val="8"/>
              </w:numPr>
              <w:spacing w:line="240" w:lineRule="auto"/>
            </w:pPr>
            <w:r>
              <w:t xml:space="preserve">Self determination </w:t>
            </w:r>
          </w:p>
          <w:p w14:paraId="2A89AAC1" w14:textId="0E4991AD" w:rsidR="00F64260" w:rsidRDefault="00A40CEE" w:rsidP="000556B3">
            <w:pPr>
              <w:pStyle w:val="ListParagraph"/>
              <w:numPr>
                <w:ilvl w:val="1"/>
                <w:numId w:val="8"/>
              </w:numPr>
              <w:spacing w:line="240" w:lineRule="auto"/>
            </w:pPr>
            <w:r>
              <w:t xml:space="preserve">Education </w:t>
            </w:r>
          </w:p>
          <w:p w14:paraId="3785C07F" w14:textId="37664229" w:rsidR="00C629CB" w:rsidRDefault="00A40CEE" w:rsidP="000556B3">
            <w:pPr>
              <w:pStyle w:val="ListParagraph"/>
              <w:numPr>
                <w:ilvl w:val="1"/>
                <w:numId w:val="8"/>
              </w:numPr>
              <w:spacing w:line="240" w:lineRule="auto"/>
            </w:pPr>
            <w:r>
              <w:t>Employment</w:t>
            </w:r>
          </w:p>
          <w:p w14:paraId="6904EE17" w14:textId="0B93E803" w:rsidR="00A40CEE" w:rsidRDefault="00A40CEE" w:rsidP="000556B3">
            <w:pPr>
              <w:pStyle w:val="ListParagraph"/>
              <w:numPr>
                <w:ilvl w:val="1"/>
                <w:numId w:val="8"/>
              </w:numPr>
              <w:spacing w:line="240" w:lineRule="auto"/>
            </w:pPr>
            <w:r>
              <w:lastRenderedPageBreak/>
              <w:t xml:space="preserve">Inclusion </w:t>
            </w:r>
          </w:p>
          <w:p w14:paraId="7E688494" w14:textId="671EA56F" w:rsidR="00F64260" w:rsidRDefault="00A40CEE" w:rsidP="00A40CEE">
            <w:pPr>
              <w:spacing w:line="240" w:lineRule="auto"/>
            </w:pPr>
            <w:r>
              <w:t xml:space="preserve">Topic 2: Self-determination in individuals with </w:t>
            </w:r>
            <w:r w:rsidR="00A91F56">
              <w:t>exceptionalities</w:t>
            </w:r>
          </w:p>
          <w:p w14:paraId="49EF3939" w14:textId="77777777" w:rsidR="00A40CEE" w:rsidRDefault="00A40CEE" w:rsidP="00A40CEE">
            <w:pPr>
              <w:pStyle w:val="ListParagraph"/>
              <w:numPr>
                <w:ilvl w:val="0"/>
                <w:numId w:val="12"/>
              </w:numPr>
              <w:spacing w:line="240" w:lineRule="auto"/>
            </w:pPr>
            <w:r>
              <w:t>Practices and supports to facilitate</w:t>
            </w:r>
          </w:p>
          <w:p w14:paraId="5A2E0B74" w14:textId="0E6F90BE" w:rsidR="00A40CEE" w:rsidRDefault="00A40CEE" w:rsidP="00A40CEE">
            <w:pPr>
              <w:pStyle w:val="ListParagraph"/>
              <w:numPr>
                <w:ilvl w:val="0"/>
                <w:numId w:val="12"/>
              </w:numPr>
              <w:spacing w:line="240" w:lineRule="auto"/>
            </w:pPr>
            <w:r>
              <w:t xml:space="preserve">Role of students, families and school personnel in fostering self determination </w:t>
            </w:r>
          </w:p>
          <w:p w14:paraId="69107AEC" w14:textId="22386488" w:rsidR="00A40CEE" w:rsidRDefault="00A40CEE" w:rsidP="00A40CEE">
            <w:pPr>
              <w:spacing w:line="240" w:lineRule="auto"/>
            </w:pPr>
            <w:r>
              <w:t xml:space="preserve">Topic 3: How disability impacts the lives of </w:t>
            </w:r>
            <w:r w:rsidR="00E101D3">
              <w:t>individuals</w:t>
            </w:r>
            <w:r>
              <w:t xml:space="preserve">: </w:t>
            </w:r>
          </w:p>
          <w:p w14:paraId="565F4E6B" w14:textId="77777777" w:rsidR="00C629CB" w:rsidRDefault="00E101D3" w:rsidP="00E101D3">
            <w:pPr>
              <w:pStyle w:val="ListParagraph"/>
              <w:numPr>
                <w:ilvl w:val="0"/>
                <w:numId w:val="13"/>
              </w:numPr>
              <w:spacing w:line="240" w:lineRule="auto"/>
            </w:pPr>
            <w:r>
              <w:t>Domains covered: education, employment, community participation, health care, independent living, finances and family and intimate relationships</w:t>
            </w:r>
          </w:p>
          <w:p w14:paraId="731026EB" w14:textId="77777777" w:rsidR="00E101D3" w:rsidRDefault="00E101D3" w:rsidP="00E101D3">
            <w:pPr>
              <w:pStyle w:val="ListParagraph"/>
              <w:numPr>
                <w:ilvl w:val="0"/>
                <w:numId w:val="13"/>
              </w:numPr>
              <w:spacing w:line="240" w:lineRule="auto"/>
            </w:pPr>
            <w:r>
              <w:t>How these domains impact individuals by type and severity of disability</w:t>
            </w:r>
          </w:p>
          <w:p w14:paraId="57FFD433" w14:textId="77777777" w:rsidR="00E101D3" w:rsidRDefault="00E101D3" w:rsidP="00E101D3">
            <w:pPr>
              <w:spacing w:line="240" w:lineRule="auto"/>
            </w:pPr>
            <w:r>
              <w:t xml:space="preserve">Topic 4: Laws an </w:t>
            </w:r>
            <w:proofErr w:type="gramStart"/>
            <w:r>
              <w:t>initiatives</w:t>
            </w:r>
            <w:proofErr w:type="gramEnd"/>
            <w:r>
              <w:t xml:space="preserve"> that guide special education services from early intervention through transition </w:t>
            </w:r>
          </w:p>
          <w:p w14:paraId="0CE9327C" w14:textId="77777777" w:rsidR="00E101D3" w:rsidRDefault="00E101D3" w:rsidP="00E101D3">
            <w:pPr>
              <w:pStyle w:val="ListParagraph"/>
              <w:numPr>
                <w:ilvl w:val="0"/>
                <w:numId w:val="14"/>
              </w:numPr>
              <w:spacing w:line="240" w:lineRule="auto"/>
            </w:pPr>
            <w:r>
              <w:t xml:space="preserve">How type and severity of disability impacts the services </w:t>
            </w:r>
          </w:p>
          <w:p w14:paraId="3B6F59B6" w14:textId="77777777" w:rsidR="00E101D3" w:rsidRDefault="00C27E03" w:rsidP="00C27E03">
            <w:pPr>
              <w:spacing w:line="240" w:lineRule="auto"/>
            </w:pPr>
            <w:r>
              <w:t>Topic 5: Roles and responsibilities</w:t>
            </w:r>
          </w:p>
          <w:p w14:paraId="175DDAE0" w14:textId="77777777" w:rsidR="00C27E03" w:rsidRDefault="00C27E03" w:rsidP="00C27E03">
            <w:pPr>
              <w:pStyle w:val="ListParagraph"/>
              <w:numPr>
                <w:ilvl w:val="0"/>
                <w:numId w:val="15"/>
              </w:numPr>
              <w:spacing w:line="240" w:lineRule="auto"/>
            </w:pPr>
            <w:r>
              <w:t>Student, family, special and general educators, paraprofessionals, school administrators and community agencies</w:t>
            </w:r>
          </w:p>
          <w:p w14:paraId="4449A17A" w14:textId="77777777" w:rsidR="00C27E03" w:rsidRDefault="00C27E03" w:rsidP="00C27E03">
            <w:pPr>
              <w:pStyle w:val="ListParagraph"/>
              <w:numPr>
                <w:ilvl w:val="0"/>
                <w:numId w:val="15"/>
              </w:numPr>
              <w:spacing w:line="240" w:lineRule="auto"/>
            </w:pPr>
            <w:r>
              <w:t>How disability awareness impacts the planning process</w:t>
            </w:r>
          </w:p>
          <w:p w14:paraId="1C122F45" w14:textId="77777777" w:rsidR="00C27E03" w:rsidRDefault="00C27E03" w:rsidP="00C27E03">
            <w:pPr>
              <w:spacing w:line="240" w:lineRule="auto"/>
            </w:pPr>
            <w:r>
              <w:t>Topic 6: The IEP process and transition services</w:t>
            </w:r>
          </w:p>
          <w:p w14:paraId="0C4DCEEF" w14:textId="77777777" w:rsidR="00C27E03" w:rsidRDefault="00C27E03" w:rsidP="00C27E03">
            <w:pPr>
              <w:pStyle w:val="ListParagraph"/>
              <w:numPr>
                <w:ilvl w:val="0"/>
                <w:numId w:val="16"/>
              </w:numPr>
              <w:spacing w:line="240" w:lineRule="auto"/>
            </w:pPr>
            <w:r>
              <w:t>Role of the transition plan in defining supports and services in the IEP</w:t>
            </w:r>
          </w:p>
          <w:p w14:paraId="05B5A0EE" w14:textId="77777777" w:rsidR="00C27E03" w:rsidRDefault="00C27E03" w:rsidP="00C27E03">
            <w:pPr>
              <w:spacing w:line="240" w:lineRule="auto"/>
            </w:pPr>
            <w:r>
              <w:t xml:space="preserve">Topic 7: Assessment and transition </w:t>
            </w:r>
          </w:p>
          <w:p w14:paraId="2E48933A" w14:textId="3BC42614" w:rsidR="00C27E03" w:rsidRDefault="00C27E03" w:rsidP="00C27E03">
            <w:pPr>
              <w:pStyle w:val="ListParagraph"/>
              <w:numPr>
                <w:ilvl w:val="0"/>
                <w:numId w:val="17"/>
              </w:numPr>
              <w:spacing w:line="240" w:lineRule="auto"/>
            </w:pPr>
            <w:r>
              <w:t xml:space="preserve">Evidence based assessments in all domains: </w:t>
            </w:r>
            <w:r w:rsidR="008C14EB">
              <w:t xml:space="preserve">post-secondary </w:t>
            </w:r>
            <w:r>
              <w:t>education, employment and independent living</w:t>
            </w:r>
          </w:p>
          <w:p w14:paraId="3D6304EB" w14:textId="77777777" w:rsidR="00C27E03" w:rsidRDefault="00C27E03" w:rsidP="00C27E03">
            <w:pPr>
              <w:pStyle w:val="ListParagraph"/>
              <w:numPr>
                <w:ilvl w:val="0"/>
                <w:numId w:val="17"/>
              </w:numPr>
              <w:spacing w:line="240" w:lineRule="auto"/>
            </w:pPr>
            <w:r>
              <w:t xml:space="preserve">Administration, scoring and interpretation </w:t>
            </w:r>
          </w:p>
          <w:p w14:paraId="379D8262" w14:textId="77777777" w:rsidR="00C27E03" w:rsidRDefault="00BF1925" w:rsidP="00C27E03">
            <w:pPr>
              <w:pStyle w:val="ListParagraph"/>
              <w:numPr>
                <w:ilvl w:val="0"/>
                <w:numId w:val="17"/>
              </w:numPr>
              <w:spacing w:line="240" w:lineRule="auto"/>
            </w:pPr>
            <w:r>
              <w:t>Methods for p</w:t>
            </w:r>
            <w:r w:rsidR="00C27E03">
              <w:t>rogress monitoring</w:t>
            </w:r>
          </w:p>
          <w:p w14:paraId="160EBE97" w14:textId="77777777" w:rsidR="00585A62" w:rsidRDefault="00585A62" w:rsidP="00585A62">
            <w:pPr>
              <w:spacing w:line="240" w:lineRule="auto"/>
            </w:pPr>
            <w:r>
              <w:t>Topic 8: Integrating academic and transition data combined with present levels of performance</w:t>
            </w:r>
          </w:p>
          <w:p w14:paraId="29EFA048" w14:textId="77777777" w:rsidR="00585A62" w:rsidRDefault="00585A62" w:rsidP="00585A62">
            <w:pPr>
              <w:pStyle w:val="ListParagraph"/>
              <w:numPr>
                <w:ilvl w:val="0"/>
                <w:numId w:val="18"/>
              </w:numPr>
              <w:spacing w:line="240" w:lineRule="auto"/>
            </w:pPr>
            <w:r>
              <w:t xml:space="preserve">Impact on academic goals and services </w:t>
            </w:r>
          </w:p>
          <w:p w14:paraId="4066B295" w14:textId="77777777" w:rsidR="00585A62" w:rsidRDefault="00585A62" w:rsidP="00585A62">
            <w:pPr>
              <w:pStyle w:val="ListParagraph"/>
              <w:numPr>
                <w:ilvl w:val="0"/>
                <w:numId w:val="18"/>
              </w:numPr>
              <w:spacing w:line="240" w:lineRule="auto"/>
            </w:pPr>
            <w:r>
              <w:t>Impact on transition goals and services</w:t>
            </w:r>
          </w:p>
          <w:p w14:paraId="30AA8855" w14:textId="77777777" w:rsidR="008C14EB" w:rsidRDefault="008C14EB" w:rsidP="008C14EB">
            <w:pPr>
              <w:spacing w:line="240" w:lineRule="auto"/>
            </w:pPr>
            <w:r>
              <w:t>Topic 9: The Longitudinal Transition Plan</w:t>
            </w:r>
          </w:p>
          <w:p w14:paraId="71E893C1" w14:textId="77777777" w:rsidR="008C14EB" w:rsidRDefault="008C14EB" w:rsidP="008C14EB">
            <w:pPr>
              <w:pStyle w:val="ListParagraph"/>
              <w:numPr>
                <w:ilvl w:val="0"/>
                <w:numId w:val="19"/>
              </w:numPr>
              <w:spacing w:line="240" w:lineRule="auto"/>
            </w:pPr>
            <w:r>
              <w:t>Develop post-secondary outcomes in all three areas of transition: post-secondary education, employment and independent living</w:t>
            </w:r>
          </w:p>
          <w:p w14:paraId="0AB31323" w14:textId="68FAA7C5" w:rsidR="00512FEA" w:rsidRDefault="00512FEA" w:rsidP="00512FEA">
            <w:pPr>
              <w:spacing w:line="240" w:lineRule="auto"/>
            </w:pPr>
          </w:p>
        </w:tc>
      </w:tr>
    </w:tbl>
    <w:p w14:paraId="2480EEC2" w14:textId="326EE26D" w:rsidR="006C4CE7" w:rsidRDefault="006C4CE7" w:rsidP="00B84E54">
      <w:pPr>
        <w:pStyle w:val="Heading3"/>
        <w:keepNext/>
        <w:jc w:val="left"/>
      </w:pPr>
    </w:p>
    <w:p w14:paraId="62F1452A" w14:textId="77777777" w:rsidR="006C4CE7" w:rsidRDefault="006C4CE7">
      <w:pPr>
        <w:spacing w:line="240" w:lineRule="auto"/>
        <w:rPr>
          <w:caps/>
          <w:color w:val="622423"/>
          <w:sz w:val="24"/>
          <w:szCs w:val="24"/>
        </w:rPr>
      </w:pPr>
      <w:r>
        <w:br w:type="page"/>
      </w:r>
    </w:p>
    <w:p w14:paraId="5496A619" w14:textId="77777777" w:rsidR="00F64260" w:rsidRDefault="00F64260" w:rsidP="00B84E54">
      <w:pPr>
        <w:pStyle w:val="Heading3"/>
        <w:keepNext/>
        <w:jc w:val="lef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D077E5">
        <w:trPr>
          <w:cantSplit/>
        </w:trPr>
        <w:tc>
          <w:tcPr>
            <w:tcW w:w="5000" w:type="pct"/>
            <w:vAlign w:val="center"/>
          </w:tcPr>
          <w:p w14:paraId="25FF7942" w14:textId="6167BF2D" w:rsidR="00BC5C71" w:rsidRPr="00BC5C71" w:rsidRDefault="007E44B1" w:rsidP="00D077E5">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E72068">
              <w:rPr>
                <w:sz w:val="20"/>
                <w:szCs w:val="20"/>
              </w:rPr>
              <w:t xml:space="preserve">The proposal must include </w:t>
            </w:r>
            <w:r w:rsidRPr="00E72068">
              <w:rPr>
                <w:sz w:val="20"/>
                <w:szCs w:val="20"/>
                <w:u w:val="single"/>
              </w:rPr>
              <w:t>all relevant pages</w:t>
            </w:r>
            <w:r w:rsidRPr="00E72068">
              <w:rPr>
                <w:sz w:val="20"/>
                <w:szCs w:val="20"/>
              </w:rPr>
              <w:t xml:space="preserve"> from the college </w:t>
            </w:r>
            <w:proofErr w:type="gramStart"/>
            <w:r w:rsidRPr="00E72068">
              <w:rPr>
                <w:sz w:val="20"/>
                <w:szCs w:val="20"/>
              </w:rPr>
              <w:t>catalog, and</w:t>
            </w:r>
            <w:proofErr w:type="gramEnd"/>
            <w:r w:rsidRPr="00E72068">
              <w:rPr>
                <w:sz w:val="20"/>
                <w:szCs w:val="20"/>
              </w:rPr>
              <w:t xml:space="preserve"> must show how the catalog will be revised.  (1) Go to the “Forms and Information” page on the Graduate Committee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1"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8" w:name="_Signature"/>
        <w:bookmarkEnd w:id="28"/>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22C7BDEC" w:rsidR="00F64260" w:rsidRDefault="0008468D" w:rsidP="00293639">
            <w:pPr>
              <w:spacing w:line="240" w:lineRule="auto"/>
            </w:pPr>
            <w:r>
              <w:t xml:space="preserve">Paul </w:t>
            </w:r>
            <w:proofErr w:type="spellStart"/>
            <w:r>
              <w:t>LaCava</w:t>
            </w:r>
            <w:proofErr w:type="spellEnd"/>
          </w:p>
        </w:tc>
        <w:tc>
          <w:tcPr>
            <w:tcW w:w="3279" w:type="dxa"/>
            <w:vAlign w:val="center"/>
          </w:tcPr>
          <w:p w14:paraId="3874B8F9" w14:textId="7D655FE6" w:rsidR="00F64260" w:rsidRDefault="0008468D" w:rsidP="00293639">
            <w:pPr>
              <w:spacing w:line="240" w:lineRule="auto"/>
            </w:pPr>
            <w:r>
              <w:t xml:space="preserve">Proposed </w:t>
            </w:r>
            <w:r w:rsidR="00ED10F6">
              <w:t>Program Director of</w:t>
            </w:r>
            <w:r>
              <w:t xml:space="preserve"> the CGS in Transition for Students with Exceptionalities</w:t>
            </w:r>
            <w:r w:rsidR="00ED10F6">
              <w:t xml:space="preserve">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003B48D2" w:rsidR="00F64260" w:rsidRDefault="0008468D" w:rsidP="00293639">
            <w:pPr>
              <w:spacing w:line="240" w:lineRule="auto"/>
            </w:pPr>
            <w:r>
              <w:t>Ying Hui-Michael</w:t>
            </w:r>
          </w:p>
        </w:tc>
        <w:tc>
          <w:tcPr>
            <w:tcW w:w="3279" w:type="dxa"/>
            <w:vAlign w:val="center"/>
          </w:tcPr>
          <w:p w14:paraId="46637261" w14:textId="72A5CD1A" w:rsidR="00F64260" w:rsidRDefault="00ED10F6" w:rsidP="00293639">
            <w:pPr>
              <w:spacing w:line="240" w:lineRule="auto"/>
            </w:pPr>
            <w:r>
              <w:t xml:space="preserve">Chair of </w:t>
            </w:r>
            <w:r w:rsidR="0008468D">
              <w:t>Special Education</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23AF5FC6" w:rsidR="00F64260" w:rsidRPr="00543ADC" w:rsidRDefault="00543ADC" w:rsidP="00543ADC">
            <w:r w:rsidRPr="00543ADC">
              <w:t>Jeannine E. Dingus-Eason</w:t>
            </w:r>
          </w:p>
        </w:tc>
        <w:tc>
          <w:tcPr>
            <w:tcW w:w="3279" w:type="dxa"/>
            <w:vAlign w:val="center"/>
          </w:tcPr>
          <w:p w14:paraId="25000859" w14:textId="3CDEBFDA" w:rsidR="00F64260" w:rsidRDefault="00ED10F6" w:rsidP="00293639">
            <w:pPr>
              <w:spacing w:line="240" w:lineRule="auto"/>
            </w:pPr>
            <w:r>
              <w:t xml:space="preserve">Dean of </w:t>
            </w:r>
            <w:r w:rsidR="0008468D">
              <w:t>FSEH</w:t>
            </w:r>
            <w:r w:rsidR="00543ADC">
              <w:t>D</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4872D84D" w:rsidR="00F64260" w:rsidRDefault="00F64260" w:rsidP="00293639">
            <w:pPr>
              <w:spacing w:line="240" w:lineRule="auto"/>
            </w:pPr>
          </w:p>
        </w:tc>
      </w:tr>
      <w:tr w:rsidR="00E72068" w14:paraId="168EBD01" w14:textId="77777777">
        <w:trPr>
          <w:cantSplit/>
          <w:trHeight w:val="489"/>
        </w:trPr>
        <w:tc>
          <w:tcPr>
            <w:tcW w:w="3279" w:type="dxa"/>
            <w:vAlign w:val="center"/>
          </w:tcPr>
          <w:p w14:paraId="4AB2CED3" w14:textId="77777777" w:rsidR="00E72068" w:rsidRPr="00543ADC" w:rsidRDefault="00E72068" w:rsidP="00543ADC"/>
        </w:tc>
        <w:tc>
          <w:tcPr>
            <w:tcW w:w="3279" w:type="dxa"/>
            <w:vAlign w:val="center"/>
          </w:tcPr>
          <w:p w14:paraId="48B557B5" w14:textId="77777777" w:rsidR="00E72068" w:rsidRDefault="00E72068" w:rsidP="00293639">
            <w:pPr>
              <w:spacing w:line="240" w:lineRule="auto"/>
            </w:pPr>
          </w:p>
        </w:tc>
        <w:tc>
          <w:tcPr>
            <w:tcW w:w="3280" w:type="dxa"/>
            <w:vAlign w:val="center"/>
          </w:tcPr>
          <w:p w14:paraId="6FF29989" w14:textId="77777777" w:rsidR="00E72068" w:rsidRDefault="00E72068" w:rsidP="00293639">
            <w:pPr>
              <w:spacing w:line="240" w:lineRule="auto"/>
            </w:pPr>
          </w:p>
        </w:tc>
        <w:tc>
          <w:tcPr>
            <w:tcW w:w="1178" w:type="dxa"/>
            <w:vAlign w:val="center"/>
          </w:tcPr>
          <w:p w14:paraId="48F9145B" w14:textId="77777777" w:rsidR="00E72068" w:rsidRDefault="00E72068"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1"/>
        <w:gridCol w:w="3504"/>
        <w:gridCol w:w="3331"/>
        <w:gridCol w:w="1254"/>
      </w:tblGrid>
      <w:tr w:rsidR="00F64260" w:rsidRPr="00402602" w14:paraId="4E4E0B67" w14:textId="77777777" w:rsidTr="00E72068">
        <w:trPr>
          <w:cantSplit/>
          <w:tblHeader/>
        </w:trPr>
        <w:tc>
          <w:tcPr>
            <w:tcW w:w="2693" w:type="dxa"/>
            <w:vAlign w:val="center"/>
          </w:tcPr>
          <w:p w14:paraId="2D79E247" w14:textId="77777777" w:rsidR="00F64260" w:rsidRPr="00A83A6C" w:rsidRDefault="00F64260" w:rsidP="00310D95">
            <w:pPr>
              <w:pStyle w:val="Heading5"/>
              <w:jc w:val="center"/>
            </w:pPr>
            <w:r w:rsidRPr="00A83A6C">
              <w:t>Name</w:t>
            </w:r>
          </w:p>
        </w:tc>
        <w:tc>
          <w:tcPr>
            <w:tcW w:w="3505" w:type="dxa"/>
            <w:vAlign w:val="center"/>
          </w:tcPr>
          <w:p w14:paraId="37EA7DA2" w14:textId="77777777" w:rsidR="00F64260" w:rsidRPr="00A83A6C" w:rsidRDefault="00F64260" w:rsidP="00310D95">
            <w:pPr>
              <w:pStyle w:val="Heading5"/>
              <w:jc w:val="center"/>
            </w:pPr>
            <w:r w:rsidRPr="00A83A6C">
              <w:t>Position/affiliation</w:t>
            </w:r>
          </w:p>
        </w:tc>
        <w:tc>
          <w:tcPr>
            <w:tcW w:w="3328" w:type="dxa"/>
            <w:vAlign w:val="center"/>
          </w:tcPr>
          <w:p w14:paraId="39E28066" w14:textId="77777777" w:rsidR="00F64260" w:rsidRPr="00A87611" w:rsidRDefault="00652AD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0" w:name="Signature_2"/>
            <w:bookmarkEnd w:id="30"/>
          </w:p>
        </w:tc>
        <w:tc>
          <w:tcPr>
            <w:tcW w:w="1254" w:type="dxa"/>
            <w:vAlign w:val="center"/>
          </w:tcPr>
          <w:p w14:paraId="4164AD02" w14:textId="77777777" w:rsidR="00F64260" w:rsidRPr="00A83A6C" w:rsidRDefault="00F64260" w:rsidP="00310D95">
            <w:pPr>
              <w:pStyle w:val="Heading5"/>
              <w:jc w:val="center"/>
            </w:pPr>
            <w:r w:rsidRPr="00A83A6C">
              <w:t>Date</w:t>
            </w:r>
          </w:p>
        </w:tc>
      </w:tr>
      <w:tr w:rsidR="00C07D9B" w14:paraId="2CD089C8" w14:textId="77777777" w:rsidTr="00E72068">
        <w:trPr>
          <w:cantSplit/>
          <w:trHeight w:val="489"/>
        </w:trPr>
        <w:tc>
          <w:tcPr>
            <w:tcW w:w="2693" w:type="dxa"/>
            <w:vAlign w:val="center"/>
          </w:tcPr>
          <w:p w14:paraId="1A764007" w14:textId="5F27C6A3" w:rsidR="00C07D9B" w:rsidRDefault="00C07D9B" w:rsidP="00C07D9B">
            <w:pPr>
              <w:spacing w:line="240" w:lineRule="auto"/>
            </w:pPr>
            <w:r>
              <w:t xml:space="preserve">Dr. Paul </w:t>
            </w:r>
            <w:proofErr w:type="spellStart"/>
            <w:r>
              <w:t>LaCava</w:t>
            </w:r>
            <w:proofErr w:type="spellEnd"/>
          </w:p>
        </w:tc>
        <w:tc>
          <w:tcPr>
            <w:tcW w:w="3505" w:type="dxa"/>
            <w:vAlign w:val="center"/>
          </w:tcPr>
          <w:p w14:paraId="13FC3369" w14:textId="77777777" w:rsidR="00C07D9B" w:rsidRDefault="00C07D9B" w:rsidP="00C07D9B">
            <w:pPr>
              <w:spacing w:line="240" w:lineRule="auto"/>
            </w:pPr>
            <w:r>
              <w:t>Program Coordinator</w:t>
            </w:r>
          </w:p>
          <w:p w14:paraId="45830244" w14:textId="4D4CEE9A" w:rsidR="00C07D9B" w:rsidRDefault="00C07D9B" w:rsidP="00C07D9B">
            <w:pPr>
              <w:spacing w:line="240" w:lineRule="auto"/>
            </w:pPr>
            <w:r>
              <w:t>M.Ed. in Special Education: Exceptional Learning Needs</w:t>
            </w:r>
          </w:p>
        </w:tc>
        <w:tc>
          <w:tcPr>
            <w:tcW w:w="3328" w:type="dxa"/>
            <w:vAlign w:val="center"/>
          </w:tcPr>
          <w:p w14:paraId="4DFACD9C" w14:textId="77777777" w:rsidR="00C07D9B" w:rsidRDefault="00C07D9B" w:rsidP="00C07D9B">
            <w:pPr>
              <w:spacing w:line="240" w:lineRule="auto"/>
            </w:pPr>
          </w:p>
        </w:tc>
        <w:tc>
          <w:tcPr>
            <w:tcW w:w="1254" w:type="dxa"/>
            <w:vAlign w:val="center"/>
          </w:tcPr>
          <w:p w14:paraId="29AEAA85" w14:textId="066D976B" w:rsidR="00C07D9B" w:rsidRDefault="00C07D9B" w:rsidP="00C07D9B">
            <w:pPr>
              <w:spacing w:line="240" w:lineRule="auto"/>
            </w:pPr>
          </w:p>
        </w:tc>
      </w:tr>
      <w:tr w:rsidR="00E72068" w14:paraId="56FF58F6" w14:textId="77777777" w:rsidTr="00E72068">
        <w:trPr>
          <w:cantSplit/>
          <w:trHeight w:val="489"/>
        </w:trPr>
        <w:tc>
          <w:tcPr>
            <w:tcW w:w="2693" w:type="dxa"/>
            <w:vAlign w:val="center"/>
          </w:tcPr>
          <w:p w14:paraId="6FC9688C" w14:textId="01BE2ABC" w:rsidR="00E72068" w:rsidRDefault="00E72068" w:rsidP="00C07D9B">
            <w:pPr>
              <w:spacing w:line="240" w:lineRule="auto"/>
            </w:pPr>
            <w:r>
              <w:t>Dr. Susan Dell</w:t>
            </w:r>
          </w:p>
        </w:tc>
        <w:tc>
          <w:tcPr>
            <w:tcW w:w="3505" w:type="dxa"/>
            <w:vAlign w:val="center"/>
          </w:tcPr>
          <w:p w14:paraId="77995DE1" w14:textId="77777777" w:rsidR="00E72068" w:rsidRDefault="00E72068" w:rsidP="00C07D9B">
            <w:pPr>
              <w:spacing w:line="240" w:lineRule="auto"/>
            </w:pPr>
            <w:r>
              <w:t>Program Coordinator</w:t>
            </w:r>
          </w:p>
          <w:p w14:paraId="1CBCAF35" w14:textId="1476A408" w:rsidR="00E72068" w:rsidRDefault="00E72068" w:rsidP="00C07D9B">
            <w:pPr>
              <w:spacing w:line="240" w:lineRule="auto"/>
            </w:pPr>
            <w:r>
              <w:t>M.Ed. in Severe Intellectual Disabilities</w:t>
            </w:r>
          </w:p>
        </w:tc>
        <w:tc>
          <w:tcPr>
            <w:tcW w:w="3332" w:type="dxa"/>
            <w:vAlign w:val="center"/>
          </w:tcPr>
          <w:p w14:paraId="0D9A50E9" w14:textId="77777777" w:rsidR="00E72068" w:rsidRDefault="00E72068" w:rsidP="00C07D9B">
            <w:pPr>
              <w:spacing w:line="240" w:lineRule="auto"/>
            </w:pPr>
          </w:p>
        </w:tc>
        <w:tc>
          <w:tcPr>
            <w:tcW w:w="1250" w:type="dxa"/>
            <w:vAlign w:val="center"/>
          </w:tcPr>
          <w:p w14:paraId="741EA726" w14:textId="77777777" w:rsidR="00E72068" w:rsidRDefault="00E72068" w:rsidP="00C07D9B">
            <w:pPr>
              <w:spacing w:line="240" w:lineRule="auto"/>
            </w:pPr>
          </w:p>
        </w:tc>
      </w:tr>
    </w:tbl>
    <w:p w14:paraId="574292D9"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0B1E" w14:textId="77777777" w:rsidR="009E5CEE" w:rsidRDefault="009E5CEE" w:rsidP="00FA78CA">
      <w:pPr>
        <w:spacing w:line="240" w:lineRule="auto"/>
      </w:pPr>
      <w:r>
        <w:separator/>
      </w:r>
    </w:p>
  </w:endnote>
  <w:endnote w:type="continuationSeparator" w:id="0">
    <w:p w14:paraId="36B2387F" w14:textId="77777777" w:rsidR="009E5CEE" w:rsidRDefault="009E5CE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6129346B" w:rsidR="00D077E5" w:rsidRPr="00310D95" w:rsidRDefault="00D077E5"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44ACA">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44ACA">
      <w:rPr>
        <w:b/>
        <w:bCs/>
        <w:noProof/>
        <w:sz w:val="20"/>
      </w:rPr>
      <w:t>7</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C13A" w14:textId="77777777" w:rsidR="009E5CEE" w:rsidRDefault="009E5CEE" w:rsidP="00FA78CA">
      <w:pPr>
        <w:spacing w:line="240" w:lineRule="auto"/>
      </w:pPr>
      <w:r>
        <w:separator/>
      </w:r>
    </w:p>
  </w:footnote>
  <w:footnote w:type="continuationSeparator" w:id="0">
    <w:p w14:paraId="28AB3BC0" w14:textId="77777777" w:rsidR="009E5CEE" w:rsidRDefault="009E5CE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DED" w14:textId="32093196" w:rsidR="00D077E5" w:rsidRPr="004254A0" w:rsidRDefault="00D077E5"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D44ACA">
      <w:rPr>
        <w:color w:val="4F6228"/>
      </w:rPr>
      <w:t xml:space="preserve">1920_41 DIS 451 Intro Transition to Adult Life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44ACA">
      <w:rPr>
        <w:color w:val="4F6228"/>
      </w:rPr>
      <w:t xml:space="preserve"> 3/6/2020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C2102A"/>
    <w:multiLevelType w:val="hybridMultilevel"/>
    <w:tmpl w:val="7BF86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31019"/>
    <w:multiLevelType w:val="hybridMultilevel"/>
    <w:tmpl w:val="7278D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9725D"/>
    <w:multiLevelType w:val="hybridMultilevel"/>
    <w:tmpl w:val="6066C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F6918"/>
    <w:multiLevelType w:val="hybridMultilevel"/>
    <w:tmpl w:val="2A06B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CC541B"/>
    <w:multiLevelType w:val="hybridMultilevel"/>
    <w:tmpl w:val="45A66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A4E18"/>
    <w:multiLevelType w:val="hybridMultilevel"/>
    <w:tmpl w:val="DEF85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5424A3"/>
    <w:multiLevelType w:val="hybridMultilevel"/>
    <w:tmpl w:val="45A66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D7736"/>
    <w:multiLevelType w:val="hybridMultilevel"/>
    <w:tmpl w:val="DEF85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10"/>
  </w:num>
  <w:num w:numId="4">
    <w:abstractNumId w:val="0"/>
  </w:num>
  <w:num w:numId="5">
    <w:abstractNumId w:val="5"/>
  </w:num>
  <w:num w:numId="6">
    <w:abstractNumId w:val="15"/>
  </w:num>
  <w:num w:numId="7">
    <w:abstractNumId w:val="1"/>
  </w:num>
  <w:num w:numId="8">
    <w:abstractNumId w:val="9"/>
  </w:num>
  <w:num w:numId="9">
    <w:abstractNumId w:val="11"/>
  </w:num>
  <w:num w:numId="10">
    <w:abstractNumId w:val="4"/>
  </w:num>
  <w:num w:numId="11">
    <w:abstractNumId w:val="18"/>
  </w:num>
  <w:num w:numId="12">
    <w:abstractNumId w:val="2"/>
  </w:num>
  <w:num w:numId="13">
    <w:abstractNumId w:val="8"/>
  </w:num>
  <w:num w:numId="14">
    <w:abstractNumId w:val="17"/>
  </w:num>
  <w:num w:numId="15">
    <w:abstractNumId w:val="14"/>
  </w:num>
  <w:num w:numId="16">
    <w:abstractNumId w:val="13"/>
  </w:num>
  <w:num w:numId="17">
    <w:abstractNumId w:val="16"/>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4E31"/>
    <w:rsid w:val="00005535"/>
    <w:rsid w:val="00010085"/>
    <w:rsid w:val="00013152"/>
    <w:rsid w:val="0001617C"/>
    <w:rsid w:val="00017C7D"/>
    <w:rsid w:val="000301C7"/>
    <w:rsid w:val="000357A5"/>
    <w:rsid w:val="0004554C"/>
    <w:rsid w:val="00053F31"/>
    <w:rsid w:val="000556B3"/>
    <w:rsid w:val="00073DC2"/>
    <w:rsid w:val="00075851"/>
    <w:rsid w:val="000810FF"/>
    <w:rsid w:val="0008468D"/>
    <w:rsid w:val="0009737C"/>
    <w:rsid w:val="000A36CD"/>
    <w:rsid w:val="000A72E5"/>
    <w:rsid w:val="000B1067"/>
    <w:rsid w:val="000D1497"/>
    <w:rsid w:val="000D21F2"/>
    <w:rsid w:val="000D5929"/>
    <w:rsid w:val="000E2CBA"/>
    <w:rsid w:val="001010FA"/>
    <w:rsid w:val="00101BA4"/>
    <w:rsid w:val="0011690A"/>
    <w:rsid w:val="001201E3"/>
    <w:rsid w:val="00120C12"/>
    <w:rsid w:val="001242AC"/>
    <w:rsid w:val="001278A4"/>
    <w:rsid w:val="001304E5"/>
    <w:rsid w:val="0013176C"/>
    <w:rsid w:val="00131B87"/>
    <w:rsid w:val="00134BE3"/>
    <w:rsid w:val="001429AA"/>
    <w:rsid w:val="001650F9"/>
    <w:rsid w:val="00176636"/>
    <w:rsid w:val="00176C55"/>
    <w:rsid w:val="00181A4B"/>
    <w:rsid w:val="001A37FB"/>
    <w:rsid w:val="001A51ED"/>
    <w:rsid w:val="001B2E3A"/>
    <w:rsid w:val="001B67E5"/>
    <w:rsid w:val="001F2703"/>
    <w:rsid w:val="001F351F"/>
    <w:rsid w:val="0020058E"/>
    <w:rsid w:val="002255E4"/>
    <w:rsid w:val="00237355"/>
    <w:rsid w:val="00240259"/>
    <w:rsid w:val="0025435F"/>
    <w:rsid w:val="002553E4"/>
    <w:rsid w:val="0026461B"/>
    <w:rsid w:val="00272104"/>
    <w:rsid w:val="0027634D"/>
    <w:rsid w:val="00284473"/>
    <w:rsid w:val="002850DD"/>
    <w:rsid w:val="00290E18"/>
    <w:rsid w:val="00292D43"/>
    <w:rsid w:val="00293639"/>
    <w:rsid w:val="00296BA1"/>
    <w:rsid w:val="0029768B"/>
    <w:rsid w:val="002A3788"/>
    <w:rsid w:val="002A5391"/>
    <w:rsid w:val="002B1EEA"/>
    <w:rsid w:val="002B1FF7"/>
    <w:rsid w:val="002B24F6"/>
    <w:rsid w:val="002B42D7"/>
    <w:rsid w:val="002B51C4"/>
    <w:rsid w:val="002B6233"/>
    <w:rsid w:val="002B7880"/>
    <w:rsid w:val="002C3D63"/>
    <w:rsid w:val="002D02BC"/>
    <w:rsid w:val="002D4773"/>
    <w:rsid w:val="002E6AEB"/>
    <w:rsid w:val="002E7764"/>
    <w:rsid w:val="002F6019"/>
    <w:rsid w:val="00310D95"/>
    <w:rsid w:val="00334441"/>
    <w:rsid w:val="00344FED"/>
    <w:rsid w:val="00345149"/>
    <w:rsid w:val="0034608C"/>
    <w:rsid w:val="00362725"/>
    <w:rsid w:val="00370031"/>
    <w:rsid w:val="00376531"/>
    <w:rsid w:val="00376A8B"/>
    <w:rsid w:val="003A45F6"/>
    <w:rsid w:val="003B2F7F"/>
    <w:rsid w:val="003B4A52"/>
    <w:rsid w:val="003C1A54"/>
    <w:rsid w:val="003C3E00"/>
    <w:rsid w:val="003C511E"/>
    <w:rsid w:val="003D1F8C"/>
    <w:rsid w:val="003D7372"/>
    <w:rsid w:val="003E6341"/>
    <w:rsid w:val="003F099C"/>
    <w:rsid w:val="003F4E82"/>
    <w:rsid w:val="00402602"/>
    <w:rsid w:val="004217ED"/>
    <w:rsid w:val="004254A0"/>
    <w:rsid w:val="004313E6"/>
    <w:rsid w:val="004331B7"/>
    <w:rsid w:val="004403BD"/>
    <w:rsid w:val="00442EEA"/>
    <w:rsid w:val="004779B4"/>
    <w:rsid w:val="00482982"/>
    <w:rsid w:val="0048308F"/>
    <w:rsid w:val="004919BD"/>
    <w:rsid w:val="00492F2F"/>
    <w:rsid w:val="004932BC"/>
    <w:rsid w:val="004A3F20"/>
    <w:rsid w:val="004B1512"/>
    <w:rsid w:val="004C185A"/>
    <w:rsid w:val="004C6B73"/>
    <w:rsid w:val="004E57C5"/>
    <w:rsid w:val="004F6658"/>
    <w:rsid w:val="00510E78"/>
    <w:rsid w:val="00512FEA"/>
    <w:rsid w:val="005174B4"/>
    <w:rsid w:val="0052526F"/>
    <w:rsid w:val="00543ADC"/>
    <w:rsid w:val="005473BC"/>
    <w:rsid w:val="00585A62"/>
    <w:rsid w:val="005873E3"/>
    <w:rsid w:val="00587DC6"/>
    <w:rsid w:val="005A29B5"/>
    <w:rsid w:val="005B7569"/>
    <w:rsid w:val="005C23BD"/>
    <w:rsid w:val="005C37AA"/>
    <w:rsid w:val="005C3F83"/>
    <w:rsid w:val="005C7C5B"/>
    <w:rsid w:val="005D1B61"/>
    <w:rsid w:val="005D389E"/>
    <w:rsid w:val="005E752D"/>
    <w:rsid w:val="005F2A05"/>
    <w:rsid w:val="005F3E54"/>
    <w:rsid w:val="005F5332"/>
    <w:rsid w:val="005F60F1"/>
    <w:rsid w:val="0060382D"/>
    <w:rsid w:val="006232ED"/>
    <w:rsid w:val="00623413"/>
    <w:rsid w:val="00643E61"/>
    <w:rsid w:val="00652ADB"/>
    <w:rsid w:val="00663C1F"/>
    <w:rsid w:val="00667074"/>
    <w:rsid w:val="00670869"/>
    <w:rsid w:val="0067554F"/>
    <w:rsid w:val="006761E1"/>
    <w:rsid w:val="00683AEB"/>
    <w:rsid w:val="00692EA7"/>
    <w:rsid w:val="006970B0"/>
    <w:rsid w:val="006A4269"/>
    <w:rsid w:val="006C4CE7"/>
    <w:rsid w:val="006D047E"/>
    <w:rsid w:val="006E3AF2"/>
    <w:rsid w:val="006E6680"/>
    <w:rsid w:val="006F7F90"/>
    <w:rsid w:val="0070451E"/>
    <w:rsid w:val="00704CFF"/>
    <w:rsid w:val="00706745"/>
    <w:rsid w:val="007072F7"/>
    <w:rsid w:val="00707856"/>
    <w:rsid w:val="00730981"/>
    <w:rsid w:val="00737219"/>
    <w:rsid w:val="0074235B"/>
    <w:rsid w:val="00743AD2"/>
    <w:rsid w:val="007445F4"/>
    <w:rsid w:val="007554DE"/>
    <w:rsid w:val="00760EA6"/>
    <w:rsid w:val="00761537"/>
    <w:rsid w:val="0076719F"/>
    <w:rsid w:val="00781686"/>
    <w:rsid w:val="00786121"/>
    <w:rsid w:val="00796AF7"/>
    <w:rsid w:val="007970C3"/>
    <w:rsid w:val="007A5702"/>
    <w:rsid w:val="007B10BE"/>
    <w:rsid w:val="007B56C1"/>
    <w:rsid w:val="007C2792"/>
    <w:rsid w:val="007D177E"/>
    <w:rsid w:val="007E44B1"/>
    <w:rsid w:val="007E78BB"/>
    <w:rsid w:val="007F29A0"/>
    <w:rsid w:val="007F6EBB"/>
    <w:rsid w:val="008122C6"/>
    <w:rsid w:val="00813E14"/>
    <w:rsid w:val="00817D32"/>
    <w:rsid w:val="0085229B"/>
    <w:rsid w:val="008555D8"/>
    <w:rsid w:val="008628B1"/>
    <w:rsid w:val="00865915"/>
    <w:rsid w:val="00872775"/>
    <w:rsid w:val="008745BA"/>
    <w:rsid w:val="0088402E"/>
    <w:rsid w:val="008847FE"/>
    <w:rsid w:val="00890CFD"/>
    <w:rsid w:val="0089234B"/>
    <w:rsid w:val="008927AF"/>
    <w:rsid w:val="0089400B"/>
    <w:rsid w:val="00896897"/>
    <w:rsid w:val="008A022F"/>
    <w:rsid w:val="008A5FCC"/>
    <w:rsid w:val="008B0588"/>
    <w:rsid w:val="008B1F84"/>
    <w:rsid w:val="008C14EB"/>
    <w:rsid w:val="008C4022"/>
    <w:rsid w:val="008E0FCD"/>
    <w:rsid w:val="008E1BD1"/>
    <w:rsid w:val="008E3EFA"/>
    <w:rsid w:val="008E48E4"/>
    <w:rsid w:val="008F0AFB"/>
    <w:rsid w:val="00902D24"/>
    <w:rsid w:val="0090422B"/>
    <w:rsid w:val="00905E67"/>
    <w:rsid w:val="009223F5"/>
    <w:rsid w:val="009262CD"/>
    <w:rsid w:val="00932B72"/>
    <w:rsid w:val="00936421"/>
    <w:rsid w:val="009367B9"/>
    <w:rsid w:val="0094479D"/>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E5CEE"/>
    <w:rsid w:val="009F029C"/>
    <w:rsid w:val="009F2F3E"/>
    <w:rsid w:val="00A01611"/>
    <w:rsid w:val="00A04A92"/>
    <w:rsid w:val="00A059D9"/>
    <w:rsid w:val="00A06E22"/>
    <w:rsid w:val="00A11DCD"/>
    <w:rsid w:val="00A32214"/>
    <w:rsid w:val="00A40CEE"/>
    <w:rsid w:val="00A442D7"/>
    <w:rsid w:val="00A47B25"/>
    <w:rsid w:val="00A54783"/>
    <w:rsid w:val="00A54F4B"/>
    <w:rsid w:val="00A5525B"/>
    <w:rsid w:val="00A56D5F"/>
    <w:rsid w:val="00A6264E"/>
    <w:rsid w:val="00A721E3"/>
    <w:rsid w:val="00A73865"/>
    <w:rsid w:val="00A74B66"/>
    <w:rsid w:val="00A76B76"/>
    <w:rsid w:val="00A836FF"/>
    <w:rsid w:val="00A83A6C"/>
    <w:rsid w:val="00A8451E"/>
    <w:rsid w:val="00A85BAB"/>
    <w:rsid w:val="00A87611"/>
    <w:rsid w:val="00A90A26"/>
    <w:rsid w:val="00A90EA3"/>
    <w:rsid w:val="00A91F56"/>
    <w:rsid w:val="00A94B5A"/>
    <w:rsid w:val="00AB0114"/>
    <w:rsid w:val="00AC3032"/>
    <w:rsid w:val="00AE78C2"/>
    <w:rsid w:val="00AE7A3D"/>
    <w:rsid w:val="00B03028"/>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702FE"/>
    <w:rsid w:val="00B70D5F"/>
    <w:rsid w:val="00B812CD"/>
    <w:rsid w:val="00B82B64"/>
    <w:rsid w:val="00B84E54"/>
    <w:rsid w:val="00B862BF"/>
    <w:rsid w:val="00B87B39"/>
    <w:rsid w:val="00BB11B9"/>
    <w:rsid w:val="00BB165D"/>
    <w:rsid w:val="00BC42B6"/>
    <w:rsid w:val="00BC42EB"/>
    <w:rsid w:val="00BC5C71"/>
    <w:rsid w:val="00BD40C6"/>
    <w:rsid w:val="00BE55B7"/>
    <w:rsid w:val="00BF1795"/>
    <w:rsid w:val="00BF1925"/>
    <w:rsid w:val="00C03CD7"/>
    <w:rsid w:val="00C0654C"/>
    <w:rsid w:val="00C07D9B"/>
    <w:rsid w:val="00C10A34"/>
    <w:rsid w:val="00C11283"/>
    <w:rsid w:val="00C21405"/>
    <w:rsid w:val="00C25F9D"/>
    <w:rsid w:val="00C27E03"/>
    <w:rsid w:val="00C31E83"/>
    <w:rsid w:val="00C518C1"/>
    <w:rsid w:val="00C53751"/>
    <w:rsid w:val="00C629CB"/>
    <w:rsid w:val="00C62AE6"/>
    <w:rsid w:val="00C63F4F"/>
    <w:rsid w:val="00C94576"/>
    <w:rsid w:val="00C969FA"/>
    <w:rsid w:val="00C97577"/>
    <w:rsid w:val="00CA44BC"/>
    <w:rsid w:val="00CA4F95"/>
    <w:rsid w:val="00CA71A8"/>
    <w:rsid w:val="00CB4CB9"/>
    <w:rsid w:val="00CC3E7A"/>
    <w:rsid w:val="00CC7449"/>
    <w:rsid w:val="00CD18DD"/>
    <w:rsid w:val="00CE22D8"/>
    <w:rsid w:val="00CE6885"/>
    <w:rsid w:val="00D077E5"/>
    <w:rsid w:val="00D329BA"/>
    <w:rsid w:val="00D44ACA"/>
    <w:rsid w:val="00D50FE1"/>
    <w:rsid w:val="00D5521E"/>
    <w:rsid w:val="00D56C09"/>
    <w:rsid w:val="00D64DF4"/>
    <w:rsid w:val="00D65A71"/>
    <w:rsid w:val="00D65F02"/>
    <w:rsid w:val="00D72B85"/>
    <w:rsid w:val="00D75FF8"/>
    <w:rsid w:val="00D8661F"/>
    <w:rsid w:val="00DA73A0"/>
    <w:rsid w:val="00DB23D4"/>
    <w:rsid w:val="00DB63D4"/>
    <w:rsid w:val="00DB7709"/>
    <w:rsid w:val="00DD69AE"/>
    <w:rsid w:val="00DE2B7A"/>
    <w:rsid w:val="00DF06F0"/>
    <w:rsid w:val="00DF4FCD"/>
    <w:rsid w:val="00DF535D"/>
    <w:rsid w:val="00DF7C07"/>
    <w:rsid w:val="00E0699A"/>
    <w:rsid w:val="00E101D3"/>
    <w:rsid w:val="00E36AF7"/>
    <w:rsid w:val="00E41E33"/>
    <w:rsid w:val="00E4755D"/>
    <w:rsid w:val="00E47897"/>
    <w:rsid w:val="00E521CF"/>
    <w:rsid w:val="00E641DE"/>
    <w:rsid w:val="00E72068"/>
    <w:rsid w:val="00E93A54"/>
    <w:rsid w:val="00EB33FD"/>
    <w:rsid w:val="00EC63A4"/>
    <w:rsid w:val="00EC7B24"/>
    <w:rsid w:val="00ED10F6"/>
    <w:rsid w:val="00ED1712"/>
    <w:rsid w:val="00ED1BF0"/>
    <w:rsid w:val="00EF3B20"/>
    <w:rsid w:val="00F15B95"/>
    <w:rsid w:val="00F32980"/>
    <w:rsid w:val="00F56CE6"/>
    <w:rsid w:val="00F571C7"/>
    <w:rsid w:val="00F64260"/>
    <w:rsid w:val="00F871BA"/>
    <w:rsid w:val="00F957F3"/>
    <w:rsid w:val="00FA05E2"/>
    <w:rsid w:val="00FA1C45"/>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137EAD5A-9E70-4498-BA0D-C47877B5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25435F"/>
    <w:pPr>
      <w:spacing w:before="100" w:beforeAutospacing="1" w:after="100" w:afterAutospacing="1" w:line="240" w:lineRule="auto"/>
    </w:pPr>
    <w:rPr>
      <w:rFonts w:ascii="Times" w:hAnsi="Times"/>
      <w:sz w:val="20"/>
      <w:szCs w:val="20"/>
    </w:rPr>
  </w:style>
  <w:style w:type="paragraph" w:customStyle="1" w:styleId="Pa2">
    <w:name w:val="Pa2"/>
    <w:basedOn w:val="Normal"/>
    <w:next w:val="Normal"/>
    <w:uiPriority w:val="99"/>
    <w:rsid w:val="008E1BD1"/>
    <w:pPr>
      <w:autoSpaceDE w:val="0"/>
      <w:autoSpaceDN w:val="0"/>
      <w:adjustRightInd w:val="0"/>
      <w:spacing w:line="221" w:lineRule="atLeast"/>
    </w:pPr>
    <w:rPr>
      <w:rFonts w:ascii="Times New Roman" w:eastAsiaTheme="minorHAnsi" w:hAnsi="Times New Roman"/>
      <w:sz w:val="24"/>
      <w:szCs w:val="24"/>
    </w:rPr>
  </w:style>
  <w:style w:type="paragraph" w:customStyle="1" w:styleId="sc-BodyText">
    <w:name w:val="sc-BodyText"/>
    <w:basedOn w:val="Normal"/>
    <w:rsid w:val="00362725"/>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47077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committee@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67Z3ZXSPZZWZ-954-222</_dlc_DocId>
    <_dlc_DocIdUrl xmlns="67887a43-7e4d-4c1c-91d7-15e417b1b8ab">
      <Url>https://w3.ric.edu/graduate_committee/_layouts/15/DocIdRedir.aspx?ID=67Z3ZXSPZZWZ-954-222</Url>
      <Description>67Z3ZXSPZZWZ-954-222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364A80-8E72-4384-BFB8-924AC726EF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E2C5E5-FB7A-4B86-8397-0885468063A4}"/>
</file>

<file path=customXml/itemProps3.xml><?xml version="1.0" encoding="utf-8"?>
<ds:datastoreItem xmlns:ds="http://schemas.openxmlformats.org/officeDocument/2006/customXml" ds:itemID="{12F3A021-2127-4CDF-B5C4-6F1C05AF25CB}">
  <ds:schemaRefs>
    <ds:schemaRef ds:uri="http://schemas.microsoft.com/sharepoint/v3/contenttype/forms"/>
  </ds:schemaRefs>
</ds:datastoreItem>
</file>

<file path=customXml/itemProps4.xml><?xml version="1.0" encoding="utf-8"?>
<ds:datastoreItem xmlns:ds="http://schemas.openxmlformats.org/officeDocument/2006/customXml" ds:itemID="{9A602AAB-6F28-4C11-89D7-BC4D25A3EADE}"/>
</file>

<file path=docProps/app.xml><?xml version="1.0" encoding="utf-8"?>
<Properties xmlns="http://schemas.openxmlformats.org/officeDocument/2006/extended-properties" xmlns:vt="http://schemas.openxmlformats.org/officeDocument/2006/docPropsVTypes">
  <Template>Normal.dotm</Template>
  <TotalTime>5</TotalTime>
  <Pages>7</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 Dell</cp:lastModifiedBy>
  <cp:revision>5</cp:revision>
  <cp:lastPrinted>2019-06-17T14:39:00Z</cp:lastPrinted>
  <dcterms:created xsi:type="dcterms:W3CDTF">2020-03-14T18:07:00Z</dcterms:created>
  <dcterms:modified xsi:type="dcterms:W3CDTF">2020-03-14T18:33:00Z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8fa37d2d-982e-4f73-8049-322df366ab01</vt:lpwstr>
  </property>
</Properties>
</file>