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69A721F" w:rsidR="00F64260" w:rsidRPr="00A83A6C" w:rsidRDefault="00007D30" w:rsidP="00B862BF">
            <w:pPr>
              <w:pStyle w:val="Heading5"/>
              <w:rPr>
                <w:b/>
              </w:rPr>
            </w:pPr>
            <w:bookmarkStart w:id="0" w:name="Proposal"/>
            <w:bookmarkEnd w:id="0"/>
            <w:r>
              <w:rPr>
                <w:b/>
              </w:rPr>
              <w:t xml:space="preserve">Certificate of graduate studies in </w:t>
            </w:r>
            <w:r w:rsidR="006C3E5F">
              <w:rPr>
                <w:b/>
              </w:rPr>
              <w:t>Co-occurR</w:t>
            </w:r>
            <w:bookmarkStart w:id="1" w:name="_GoBack"/>
            <w:bookmarkEnd w:id="1"/>
            <w:r w:rsidR="006C3E5F">
              <w:rPr>
                <w:b/>
              </w:rPr>
              <w:t xml:space="preserve">ing </w:t>
            </w:r>
            <w:r w:rsidR="002F35AF">
              <w:rPr>
                <w:b/>
              </w:rPr>
              <w:t>MENTAL</w:t>
            </w:r>
            <w:r>
              <w:rPr>
                <w:b/>
              </w:rPr>
              <w:t xml:space="preserve"> heALTH AND SUBSTANCE USE DISORDERS</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5E5E3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A1AB7CF" w:rsidR="00007D30" w:rsidRPr="00F113DB" w:rsidRDefault="00007D30" w:rsidP="00007D30">
            <w:pPr>
              <w:rPr>
                <w:b/>
                <w:color w:val="0000FF"/>
                <w:u w:val="single"/>
              </w:rPr>
            </w:pPr>
            <w:bookmarkStart w:id="5" w:name="type"/>
            <w:r>
              <w:rPr>
                <w:b/>
              </w:rPr>
              <w:t>Program</w:t>
            </w:r>
            <w:r w:rsidR="00F64260" w:rsidRPr="005F2A05">
              <w:rPr>
                <w:b/>
              </w:rPr>
              <w:t xml:space="preserve">: </w:t>
            </w:r>
            <w:r w:rsidR="00F64260">
              <w:rPr>
                <w:b/>
              </w:rPr>
              <w:t xml:space="preserve"> </w:t>
            </w:r>
            <w:r w:rsidR="00F64260" w:rsidRPr="005F2A05">
              <w:rPr>
                <w:b/>
              </w:rPr>
              <w:t>creation</w:t>
            </w:r>
            <w:bookmarkEnd w:id="5"/>
            <w:r w:rsidR="00F64260" w:rsidRPr="005F2A05">
              <w:rPr>
                <w:b/>
              </w:rPr>
              <w:t xml:space="preserve"> </w:t>
            </w:r>
          </w:p>
          <w:p w14:paraId="162BF641" w14:textId="622E0588" w:rsidR="00F113DB" w:rsidRPr="00F113DB" w:rsidRDefault="00F113DB" w:rsidP="000A36CD">
            <w:pPr>
              <w:rPr>
                <w:b/>
                <w:color w:val="0000FF"/>
                <w:u w:val="single"/>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38FA79A" w14:textId="77777777" w:rsidR="00F64260" w:rsidRDefault="00084B15" w:rsidP="00B862BF">
            <w:pPr>
              <w:rPr>
                <w:b/>
              </w:rPr>
            </w:pPr>
            <w:bookmarkStart w:id="6" w:name="Originator"/>
            <w:bookmarkEnd w:id="6"/>
            <w:r>
              <w:rPr>
                <w:b/>
              </w:rPr>
              <w:t>Aswood Bousseau</w:t>
            </w:r>
          </w:p>
          <w:p w14:paraId="395B7DBB" w14:textId="77777777" w:rsidR="00084B15" w:rsidRDefault="00084B15" w:rsidP="00B862BF">
            <w:pPr>
              <w:rPr>
                <w:b/>
              </w:rPr>
            </w:pPr>
            <w:r>
              <w:rPr>
                <w:b/>
              </w:rPr>
              <w:t>Warren Miller</w:t>
            </w:r>
          </w:p>
          <w:p w14:paraId="109F9B7A" w14:textId="471474A7" w:rsidR="00084B15" w:rsidRPr="00B605CE" w:rsidRDefault="00084B15" w:rsidP="00B862BF">
            <w:pPr>
              <w:rPr>
                <w:b/>
              </w:rPr>
            </w:pPr>
            <w:r>
              <w:rPr>
                <w:b/>
              </w:rPr>
              <w:t>Jayashree Nimmagadda</w:t>
            </w:r>
          </w:p>
        </w:tc>
        <w:tc>
          <w:tcPr>
            <w:tcW w:w="1210" w:type="pct"/>
            <w:gridSpan w:val="2"/>
          </w:tcPr>
          <w:p w14:paraId="561C556F" w14:textId="77777777" w:rsidR="00F64260" w:rsidRPr="00946B20" w:rsidRDefault="005E5E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3AD00D2" w:rsidR="00F64260" w:rsidRPr="00B605CE" w:rsidRDefault="00084B15" w:rsidP="00B862BF">
            <w:pPr>
              <w:rPr>
                <w:b/>
              </w:rPr>
            </w:pPr>
            <w:bookmarkStart w:id="7" w:name="home_dept"/>
            <w:bookmarkEnd w:id="7"/>
            <w:r>
              <w:rPr>
                <w:b/>
              </w:rPr>
              <w:t>Social Work</w:t>
            </w:r>
            <w:r w:rsidR="00F113DB">
              <w:rPr>
                <w:b/>
              </w:rPr>
              <w:t>,</w:t>
            </w:r>
            <w:r w:rsidR="00F113DB">
              <w:t xml:space="preserve"> </w:t>
            </w:r>
            <w:r w:rsidR="00F113DB" w:rsidRPr="00F113DB">
              <w:rPr>
                <w:b/>
                <w:bCs/>
              </w:rPr>
              <w:t>MSW program</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Default="00F64260">
            <w:pPr>
              <w:spacing w:line="240" w:lineRule="auto"/>
              <w:rPr>
                <w:b/>
              </w:rPr>
            </w:pPr>
            <w:bookmarkStart w:id="8" w:name="Rationale"/>
            <w:bookmarkEnd w:id="8"/>
          </w:p>
          <w:p w14:paraId="19C793D5" w14:textId="77777777" w:rsidR="003C23F0" w:rsidRPr="009A218F" w:rsidRDefault="003C23F0" w:rsidP="003C23F0">
            <w:pPr>
              <w:spacing w:line="240" w:lineRule="auto"/>
              <w:rPr>
                <w:bCs/>
                <w:sz w:val="24"/>
                <w:szCs w:val="24"/>
              </w:rPr>
            </w:pPr>
            <w:r w:rsidRPr="009A218F">
              <w:rPr>
                <w:bCs/>
                <w:sz w:val="24"/>
                <w:szCs w:val="24"/>
              </w:rPr>
              <w:t>The purpose of this proposal is to seek approval for a new Certificate of Graduate Studies in Mental health and substance use disorder which will be offered to MSW students.</w:t>
            </w:r>
          </w:p>
          <w:p w14:paraId="187F05DB" w14:textId="77777777" w:rsidR="003C23F0" w:rsidRPr="009A218F" w:rsidRDefault="003C23F0" w:rsidP="003C23F0">
            <w:pPr>
              <w:spacing w:line="240" w:lineRule="auto"/>
              <w:rPr>
                <w:bCs/>
                <w:sz w:val="24"/>
                <w:szCs w:val="24"/>
              </w:rPr>
            </w:pPr>
          </w:p>
          <w:p w14:paraId="44BC8B59" w14:textId="7282FD64" w:rsidR="009A218F" w:rsidRPr="009A218F" w:rsidRDefault="003C23F0" w:rsidP="003C23F0">
            <w:pPr>
              <w:rPr>
                <w:bCs/>
                <w:sz w:val="24"/>
                <w:szCs w:val="24"/>
              </w:rPr>
            </w:pPr>
            <w:r w:rsidRPr="009A218F">
              <w:rPr>
                <w:bCs/>
                <w:sz w:val="24"/>
                <w:szCs w:val="24"/>
              </w:rPr>
              <w:t xml:space="preserve">In 2015, the National Survey on Drug Use and Health (NSUDH), ranked Rhode Island (RI) as the second highest state in the nation for dependence on substance use among adults.  </w:t>
            </w:r>
            <w:r w:rsidR="009A218F" w:rsidRPr="009A218F">
              <w:rPr>
                <w:rFonts w:asciiTheme="minorHAnsi" w:hAnsiTheme="minorHAnsi"/>
                <w:bCs/>
                <w:sz w:val="24"/>
                <w:szCs w:val="24"/>
              </w:rPr>
              <w:t>With over 64,000 drug overdose deaths in 2016, the United States is, unfortunately, a leader in the world for opioid consumption and overdose (International Narcotics Control Board, 2017). This epidemic has disproportionately affected the Rust Belt and New England (National Institute on Drug Abuse, 2018), and it appears that this has been due in large part to the number of opioids prescribed by doctors in these areas. RI, as part of New England, has stood out as a state affected strongly by this crisis (RI-OPITF, 2015). The National Center for Health Workforce Analysis (HRSA, 2017) projects that by 2025 mental health and substance abuse social workers will have shortages of more than 48,000 FTEs.</w:t>
            </w:r>
          </w:p>
          <w:p w14:paraId="36171FE4" w14:textId="77777777" w:rsidR="009A218F" w:rsidRPr="009A218F" w:rsidRDefault="009A218F" w:rsidP="003C23F0">
            <w:pPr>
              <w:rPr>
                <w:bCs/>
                <w:sz w:val="24"/>
                <w:szCs w:val="24"/>
              </w:rPr>
            </w:pPr>
          </w:p>
          <w:p w14:paraId="5C10743B" w14:textId="103AAD4D" w:rsidR="003C23F0" w:rsidRPr="009A218F" w:rsidRDefault="003C23F0" w:rsidP="003C23F0">
            <w:pPr>
              <w:rPr>
                <w:bCs/>
                <w:sz w:val="24"/>
                <w:szCs w:val="24"/>
              </w:rPr>
            </w:pPr>
            <w:r w:rsidRPr="009A218F">
              <w:rPr>
                <w:bCs/>
                <w:sz w:val="24"/>
                <w:szCs w:val="24"/>
              </w:rPr>
              <w:t xml:space="preserve">This prospective certificate of graduate study in mental health and substance use disorders would help prepare current advanced year MSW students for the mental health and substance use disorder treatment workforce. The MSW program received a federal grant from Health Resource and Services Administration (HRSA) in 2019 to develop and provide this training. </w:t>
            </w:r>
          </w:p>
          <w:p w14:paraId="7E47D4D2" w14:textId="77777777" w:rsidR="003C23F0" w:rsidRPr="009A218F" w:rsidRDefault="003C23F0" w:rsidP="003C23F0">
            <w:pPr>
              <w:spacing w:line="240" w:lineRule="auto"/>
              <w:rPr>
                <w:bCs/>
                <w:sz w:val="24"/>
                <w:szCs w:val="24"/>
              </w:rPr>
            </w:pPr>
          </w:p>
          <w:p w14:paraId="24BC70E1" w14:textId="77777777" w:rsidR="003C23F0" w:rsidRPr="009A218F" w:rsidRDefault="003C23F0" w:rsidP="003C23F0">
            <w:pPr>
              <w:spacing w:line="240" w:lineRule="auto"/>
              <w:rPr>
                <w:bCs/>
                <w:sz w:val="24"/>
                <w:szCs w:val="24"/>
              </w:rPr>
            </w:pPr>
            <w:r w:rsidRPr="009A218F">
              <w:rPr>
                <w:bCs/>
                <w:sz w:val="24"/>
                <w:szCs w:val="24"/>
              </w:rPr>
              <w:t>The certificate program is open to all advanced clinical second year MSW students interested in gaining knowledge and skills in evidence-informed practices in Co-Occurring Mental Health and Substance Use Disorder.</w:t>
            </w:r>
          </w:p>
          <w:p w14:paraId="6C43337D" w14:textId="77777777" w:rsidR="003C23F0" w:rsidRPr="009A218F" w:rsidRDefault="003C23F0" w:rsidP="003C23F0">
            <w:pPr>
              <w:spacing w:line="240" w:lineRule="auto"/>
              <w:rPr>
                <w:bCs/>
                <w:sz w:val="24"/>
                <w:szCs w:val="24"/>
              </w:rPr>
            </w:pPr>
          </w:p>
          <w:p w14:paraId="691B34C0" w14:textId="77777777" w:rsidR="003C23F0" w:rsidRPr="009A218F" w:rsidRDefault="003C23F0" w:rsidP="003C23F0">
            <w:pPr>
              <w:spacing w:line="240" w:lineRule="auto"/>
              <w:rPr>
                <w:bCs/>
              </w:rPr>
            </w:pPr>
            <w:r w:rsidRPr="009A218F">
              <w:rPr>
                <w:bCs/>
                <w:sz w:val="24"/>
                <w:szCs w:val="24"/>
              </w:rPr>
              <w:lastRenderedPageBreak/>
              <w:t>Enrolled students will have to earn 15 credits in courses that are designed to enhance their understanding of how to function as part of an interprofessional</w:t>
            </w:r>
            <w:r w:rsidRPr="00330D65">
              <w:rPr>
                <w:b/>
              </w:rPr>
              <w:t xml:space="preserve"> </w:t>
            </w:r>
            <w:r w:rsidRPr="009A218F">
              <w:rPr>
                <w:bCs/>
              </w:rPr>
              <w:t>team and develop competencies in engaging and supporting clients with mental health and substance use disorders.</w:t>
            </w:r>
          </w:p>
          <w:p w14:paraId="53C38AC8" w14:textId="77777777" w:rsidR="003C23F0" w:rsidRPr="009A218F" w:rsidRDefault="003C23F0" w:rsidP="003C23F0">
            <w:pPr>
              <w:spacing w:line="240" w:lineRule="auto"/>
              <w:rPr>
                <w:bCs/>
              </w:rPr>
            </w:pPr>
          </w:p>
          <w:p w14:paraId="0FAFFD1E" w14:textId="77777777" w:rsidR="003C23F0" w:rsidRPr="009A218F" w:rsidRDefault="003C23F0" w:rsidP="003C23F0">
            <w:pPr>
              <w:spacing w:line="240" w:lineRule="auto"/>
              <w:rPr>
                <w:bCs/>
              </w:rPr>
            </w:pPr>
            <w:r w:rsidRPr="009A218F">
              <w:rPr>
                <w:bCs/>
              </w:rPr>
              <w:t xml:space="preserve">Students will complete 300 hours of internship each semester (600 total hours for the year) in a setting/agency that provides substance use treatment. We have developed several NEW field placements (all substance-use related settings) in support of this program. </w:t>
            </w:r>
          </w:p>
          <w:p w14:paraId="3C440F19" w14:textId="77777777" w:rsidR="008C74C0" w:rsidRPr="00FF3E1C" w:rsidRDefault="008C74C0">
            <w:pPr>
              <w:spacing w:line="240" w:lineRule="auto"/>
              <w:rPr>
                <w:b/>
              </w:rPr>
            </w:pPr>
          </w:p>
          <w:p w14:paraId="05EEBBB2" w14:textId="77777777" w:rsidR="00F64260" w:rsidRPr="00FA6998" w:rsidRDefault="00F64260" w:rsidP="00946B20">
            <w:pPr>
              <w:rPr>
                <w:b/>
              </w:rPr>
            </w:pPr>
          </w:p>
        </w:tc>
      </w:tr>
      <w:tr w:rsidR="000B0565" w:rsidRPr="006E3AF2" w14:paraId="757552F8" w14:textId="77777777" w:rsidTr="000357A5">
        <w:tc>
          <w:tcPr>
            <w:tcW w:w="1111" w:type="pct"/>
            <w:vAlign w:val="center"/>
          </w:tcPr>
          <w:p w14:paraId="68C2CE3C" w14:textId="77777777" w:rsidR="000B0565" w:rsidRPr="00B649C4" w:rsidRDefault="000B0565" w:rsidP="00010085"/>
        </w:tc>
        <w:tc>
          <w:tcPr>
            <w:tcW w:w="3889" w:type="pct"/>
            <w:gridSpan w:val="6"/>
          </w:tcPr>
          <w:p w14:paraId="146EB07C" w14:textId="77777777" w:rsidR="000B0565" w:rsidRDefault="000B0565" w:rsidP="00FA6998">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bookmarkStart w:id="9" w:name="_Hlk30576652"/>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744CF700" w14:textId="2B254598" w:rsidR="000357A5" w:rsidRDefault="00F113DB" w:rsidP="00B862BF">
            <w:pPr>
              <w:rPr>
                <w:b/>
              </w:rPr>
            </w:pPr>
            <w:r>
              <w:rPr>
                <w:b/>
              </w:rPr>
              <w:t xml:space="preserve">Students will </w:t>
            </w:r>
            <w:r w:rsidR="00157C9D">
              <w:rPr>
                <w:b/>
              </w:rPr>
              <w:t xml:space="preserve">have an opportunity to </w:t>
            </w:r>
            <w:r w:rsidR="00596C5A">
              <w:rPr>
                <w:b/>
              </w:rPr>
              <w:t>gain</w:t>
            </w:r>
            <w:r>
              <w:rPr>
                <w:b/>
              </w:rPr>
              <w:t xml:space="preserve"> knowledge and skills </w:t>
            </w:r>
            <w:r w:rsidR="00596C5A">
              <w:rPr>
                <w:b/>
              </w:rPr>
              <w:t xml:space="preserve">to work </w:t>
            </w:r>
            <w:r>
              <w:rPr>
                <w:b/>
              </w:rPr>
              <w:t xml:space="preserve">in </w:t>
            </w:r>
            <w:r w:rsidR="00596C5A">
              <w:rPr>
                <w:b/>
              </w:rPr>
              <w:t>a healthcare setting that provides mental health and substance use services</w:t>
            </w:r>
          </w:p>
          <w:p w14:paraId="29CC1F8A" w14:textId="1F900CEF" w:rsidR="00406318" w:rsidRPr="00B605CE" w:rsidRDefault="00406318" w:rsidP="00B862BF">
            <w:pPr>
              <w:rPr>
                <w:b/>
              </w:rPr>
            </w:pPr>
          </w:p>
        </w:tc>
      </w:tr>
      <w:bookmarkEnd w:id="9"/>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A126BEC" w:rsidR="000357A5" w:rsidRPr="00B605CE" w:rsidRDefault="00157C9D"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1DA4DEFF" w:rsidR="00B07266" w:rsidRPr="00C25F9D" w:rsidRDefault="00F113DB" w:rsidP="00C25F9D">
            <w:pPr>
              <w:rPr>
                <w:b/>
              </w:rPr>
            </w:pPr>
            <w:bookmarkStart w:id="11" w:name="faculty"/>
            <w:bookmarkEnd w:id="11"/>
            <w:r>
              <w:rPr>
                <w:b/>
              </w:rPr>
              <w:t>N</w:t>
            </w:r>
            <w:r w:rsidR="00596C5A">
              <w:rPr>
                <w:b/>
              </w:rPr>
              <w:t>/A</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5E5E3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C53FADC" w:rsidR="00B07266" w:rsidRPr="00C25F9D" w:rsidRDefault="00F113DB" w:rsidP="00C25F9D">
            <w:pPr>
              <w:rPr>
                <w:b/>
              </w:rPr>
            </w:pPr>
            <w:bookmarkStart w:id="12" w:name="library"/>
            <w:bookmarkEnd w:id="12"/>
            <w:r>
              <w:rPr>
                <w:b/>
              </w:rPr>
              <w:t>N</w:t>
            </w:r>
            <w:r w:rsidR="00596C5A">
              <w:rPr>
                <w:b/>
              </w:rPr>
              <w:t>/A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5E5E35"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B1349C4" w:rsidR="00B07266" w:rsidRPr="00C25F9D" w:rsidRDefault="00F113DB" w:rsidP="00C25F9D">
            <w:pPr>
              <w:rPr>
                <w:b/>
              </w:rPr>
            </w:pPr>
            <w:bookmarkStart w:id="13" w:name="technology"/>
            <w:bookmarkEnd w:id="13"/>
            <w:r>
              <w:rPr>
                <w:b/>
              </w:rPr>
              <w:t>N</w:t>
            </w:r>
            <w:r w:rsidR="00596C5A">
              <w:rPr>
                <w:b/>
              </w:rPr>
              <w:t>/A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5E5E35"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AB1D7DF" w:rsidR="00B07266" w:rsidRPr="00C25F9D" w:rsidRDefault="00F113DB" w:rsidP="00C25F9D">
            <w:pPr>
              <w:rPr>
                <w:b/>
              </w:rPr>
            </w:pPr>
            <w:bookmarkStart w:id="14" w:name="facilities"/>
            <w:bookmarkEnd w:id="14"/>
            <w:r>
              <w:rPr>
                <w:b/>
              </w:rPr>
              <w:t>N</w:t>
            </w:r>
            <w:r w:rsidR="00596C5A">
              <w:rPr>
                <w:b/>
              </w:rPr>
              <w:t>/A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B5E8F9B" w:rsidR="00B07266" w:rsidRPr="00C25F9D" w:rsidRDefault="00F113DB" w:rsidP="00C25F9D">
            <w:pPr>
              <w:rPr>
                <w:b/>
              </w:rPr>
            </w:pPr>
            <w:r>
              <w:rPr>
                <w:b/>
              </w:rPr>
              <w:t>N</w:t>
            </w:r>
            <w:r w:rsidR="00596C5A">
              <w:rPr>
                <w:b/>
              </w:rPr>
              <w:t>/A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27CC16D" w:rsidR="000357A5" w:rsidRPr="00B649C4" w:rsidRDefault="00F113DB" w:rsidP="00C25F9D">
            <w:pPr>
              <w:rPr>
                <w:b/>
              </w:rPr>
            </w:pPr>
            <w:bookmarkStart w:id="15" w:name="prog_impact"/>
            <w:bookmarkEnd w:id="15"/>
            <w:r>
              <w:rPr>
                <w:b/>
              </w:rPr>
              <w:t>Summer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4FBBD10" w:rsidR="000357A5" w:rsidRPr="00157C9D" w:rsidRDefault="00157C9D" w:rsidP="00C25F9D">
            <w:pPr>
              <w:rPr>
                <w:b/>
              </w:rPr>
            </w:pPr>
            <w:bookmarkStart w:id="16" w:name="_Hlk30576685"/>
            <w:r>
              <w:rPr>
                <w:b/>
              </w:rPr>
              <w:t xml:space="preserve">Since this activity is grant funded, we </w:t>
            </w:r>
            <w:r w:rsidR="00596C5A">
              <w:rPr>
                <w:b/>
              </w:rPr>
              <w:t>would</w:t>
            </w:r>
            <w:r>
              <w:rPr>
                <w:b/>
              </w:rPr>
              <w:t xml:space="preserve"> need to </w:t>
            </w:r>
            <w:r w:rsidR="00596C5A">
              <w:rPr>
                <w:b/>
              </w:rPr>
              <w:t xml:space="preserve">begin enrolling students in </w:t>
            </w:r>
            <w:r w:rsidR="00390A78">
              <w:rPr>
                <w:b/>
              </w:rPr>
              <w:t xml:space="preserve">the </w:t>
            </w:r>
            <w:r>
              <w:rPr>
                <w:b/>
              </w:rPr>
              <w:t>summer</w:t>
            </w:r>
            <w:r w:rsidR="00390A78">
              <w:rPr>
                <w:b/>
              </w:rPr>
              <w:t xml:space="preserve"> of</w:t>
            </w:r>
            <w:r w:rsidR="00596C5A">
              <w:rPr>
                <w:b/>
              </w:rPr>
              <w:t xml:space="preserve"> 2020</w:t>
            </w:r>
            <w:bookmarkEnd w:id="16"/>
          </w:p>
        </w:tc>
      </w:tr>
    </w:tbl>
    <w:p w14:paraId="14CFF84D" w14:textId="77777777" w:rsidR="00F64260" w:rsidRDefault="00F64260" w:rsidP="00B862BF"/>
    <w:p w14:paraId="7EDF072F" w14:textId="2E5CABFD" w:rsidR="00F64260" w:rsidRPr="009F354A" w:rsidRDefault="00F64260" w:rsidP="009F354A">
      <w:pPr>
        <w:keepNext/>
        <w:rPr>
          <w:rFonts w:asciiTheme="minorHAnsi" w:hAnsiTheme="minorHAnsi"/>
        </w:rPr>
      </w:pPr>
      <w:r w:rsidRPr="009F354A">
        <w:br w:type="page"/>
      </w:r>
      <w:r w:rsidRPr="003A1291">
        <w:rPr>
          <w:color w:val="000000" w:themeColor="text1"/>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3A1291">
          <w:rPr>
            <w:rStyle w:val="Hyperlink"/>
            <w:color w:val="000000" w:themeColor="text1"/>
          </w:rPr>
          <w:t>Program Proposals</w:t>
        </w:r>
        <w:bookmarkStart w:id="17" w:name="program_proposals"/>
        <w:bookmarkEnd w:id="17"/>
      </w:hyperlink>
      <w:r w:rsidRPr="003A1291">
        <w:rPr>
          <w:rStyle w:val="Hyperlink"/>
          <w:color w:val="000000" w:themeColor="text1"/>
        </w:rPr>
        <w:br/>
      </w:r>
    </w:p>
    <w:tbl>
      <w:tblPr>
        <w:tblStyle w:val="TableGrid"/>
        <w:tblW w:w="483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420"/>
        <w:gridCol w:w="8011"/>
      </w:tblGrid>
      <w:tr w:rsidR="00AD3508" w:rsidRPr="003A1291" w14:paraId="7F9F53E8" w14:textId="77777777" w:rsidTr="00AD3508">
        <w:trPr>
          <w:tblHeader/>
        </w:trPr>
        <w:tc>
          <w:tcPr>
            <w:tcW w:w="2420" w:type="dxa"/>
            <w:shd w:val="clear" w:color="auto" w:fill="FABF8F"/>
            <w:noWrap/>
            <w:vAlign w:val="center"/>
          </w:tcPr>
          <w:p w14:paraId="4D238F4F" w14:textId="77777777" w:rsidR="00AD3508" w:rsidRPr="003A1291" w:rsidRDefault="00AD3508" w:rsidP="00EB33FD">
            <w:pPr>
              <w:pStyle w:val="Heading5"/>
              <w:keepNext/>
              <w:spacing w:before="0" w:after="0" w:line="240" w:lineRule="auto"/>
              <w:rPr>
                <w:color w:val="000000" w:themeColor="text1"/>
              </w:rPr>
            </w:pPr>
          </w:p>
        </w:tc>
        <w:tc>
          <w:tcPr>
            <w:tcW w:w="8010" w:type="dxa"/>
            <w:noWrap/>
          </w:tcPr>
          <w:p w14:paraId="1F223D88" w14:textId="77777777" w:rsidR="00AD3508" w:rsidRPr="003A1291" w:rsidRDefault="00AD3508" w:rsidP="00EB33FD">
            <w:pPr>
              <w:pStyle w:val="Heading5"/>
              <w:keepNext/>
              <w:spacing w:before="0" w:after="0" w:line="240" w:lineRule="auto"/>
              <w:jc w:val="center"/>
              <w:rPr>
                <w:color w:val="000000" w:themeColor="text1"/>
              </w:rPr>
            </w:pPr>
            <w:r w:rsidRPr="003A1291">
              <w:rPr>
                <w:color w:val="000000" w:themeColor="text1"/>
              </w:rPr>
              <w:t>New/revised</w:t>
            </w:r>
          </w:p>
        </w:tc>
      </w:tr>
      <w:tr w:rsidR="00AD3508" w:rsidRPr="003A1291" w14:paraId="69A9481E" w14:textId="77777777" w:rsidTr="00AD3508">
        <w:tc>
          <w:tcPr>
            <w:tcW w:w="2420" w:type="dxa"/>
            <w:noWrap/>
            <w:vAlign w:val="center"/>
          </w:tcPr>
          <w:p w14:paraId="0C470DBA" w14:textId="4FDFCB6E" w:rsidR="00AD3508" w:rsidRPr="003A1291" w:rsidRDefault="00AD3508" w:rsidP="00310D95">
            <w:pPr>
              <w:spacing w:line="240" w:lineRule="auto"/>
              <w:rPr>
                <w:color w:val="000000" w:themeColor="text1"/>
              </w:rPr>
            </w:pPr>
            <w:r w:rsidRPr="003A1291">
              <w:rPr>
                <w:color w:val="000000" w:themeColor="text1"/>
              </w:rPr>
              <w:t xml:space="preserve">C.1. </w:t>
            </w:r>
            <w:hyperlink w:anchor="enrollments" w:tooltip="For revised programs, indicate enrollments for the last few years, if these figures are available. For new programs, include estimated target enrollments. " w:history="1">
              <w:r w:rsidRPr="003A1291">
                <w:rPr>
                  <w:rStyle w:val="Hyperlink"/>
                  <w:color w:val="000000" w:themeColor="text1"/>
                </w:rPr>
                <w:t>Enrollments</w:t>
              </w:r>
            </w:hyperlink>
          </w:p>
        </w:tc>
        <w:tc>
          <w:tcPr>
            <w:tcW w:w="8010" w:type="dxa"/>
            <w:noWrap/>
          </w:tcPr>
          <w:p w14:paraId="4D199656" w14:textId="35EDF6B4" w:rsidR="00AD3508" w:rsidRPr="003A1291" w:rsidRDefault="00AD3508" w:rsidP="00120C12">
            <w:pPr>
              <w:spacing w:line="240" w:lineRule="auto"/>
              <w:rPr>
                <w:b/>
                <w:color w:val="000000" w:themeColor="text1"/>
              </w:rPr>
            </w:pPr>
            <w:bookmarkStart w:id="18" w:name="enrollments"/>
            <w:bookmarkEnd w:id="18"/>
            <w:r>
              <w:rPr>
                <w:b/>
                <w:color w:val="000000" w:themeColor="text1"/>
              </w:rPr>
              <w:t>15 per year</w:t>
            </w:r>
          </w:p>
        </w:tc>
      </w:tr>
      <w:tr w:rsidR="00AD3508" w:rsidRPr="003A1291" w14:paraId="60B5600C" w14:textId="77777777" w:rsidTr="00AD3508">
        <w:tc>
          <w:tcPr>
            <w:tcW w:w="2420" w:type="dxa"/>
            <w:noWrap/>
            <w:vAlign w:val="center"/>
          </w:tcPr>
          <w:p w14:paraId="1E408FCD" w14:textId="4AC7590E" w:rsidR="00AD3508" w:rsidRPr="003A1291" w:rsidRDefault="00AD3508" w:rsidP="003F099C">
            <w:pPr>
              <w:spacing w:line="240" w:lineRule="auto"/>
              <w:rPr>
                <w:color w:val="000000" w:themeColor="text1"/>
              </w:rPr>
            </w:pPr>
            <w:bookmarkStart w:id="19" w:name="_Hlk30576758"/>
            <w:r w:rsidRPr="003A1291">
              <w:rPr>
                <w:color w:val="000000" w:themeColor="text1"/>
              </w:rP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A1291">
                <w:rPr>
                  <w:rStyle w:val="Hyperlink"/>
                  <w:color w:val="000000" w:themeColor="text1"/>
                </w:rPr>
                <w:t>Admission requirements</w:t>
              </w:r>
            </w:hyperlink>
          </w:p>
        </w:tc>
        <w:tc>
          <w:tcPr>
            <w:tcW w:w="8010" w:type="dxa"/>
            <w:noWrap/>
          </w:tcPr>
          <w:p w14:paraId="71E04F7C" w14:textId="4FC4B21B" w:rsidR="00AD3508" w:rsidRDefault="00AD3508" w:rsidP="00120C12">
            <w:pPr>
              <w:spacing w:line="240" w:lineRule="auto"/>
              <w:rPr>
                <w:b/>
                <w:color w:val="000000" w:themeColor="text1"/>
              </w:rPr>
            </w:pPr>
            <w:bookmarkStart w:id="20" w:name="admissions"/>
            <w:bookmarkEnd w:id="20"/>
            <w:r>
              <w:rPr>
                <w:b/>
                <w:color w:val="000000" w:themeColor="text1"/>
              </w:rPr>
              <w:t>Admission requirements for CGS:</w:t>
            </w:r>
          </w:p>
          <w:p w14:paraId="19A5D66E" w14:textId="0FEFF7D0" w:rsidR="00AD3508" w:rsidRDefault="00AD3508" w:rsidP="00120C12">
            <w:pPr>
              <w:spacing w:line="240" w:lineRule="auto"/>
              <w:rPr>
                <w:b/>
                <w:color w:val="000000" w:themeColor="text1"/>
              </w:rPr>
            </w:pPr>
          </w:p>
          <w:p w14:paraId="040298D8" w14:textId="2B1C4DBE" w:rsidR="00AD3508" w:rsidRDefault="00AD3508" w:rsidP="00390A78">
            <w:pPr>
              <w:pStyle w:val="ListParagraph"/>
              <w:numPr>
                <w:ilvl w:val="0"/>
                <w:numId w:val="26"/>
              </w:numPr>
              <w:spacing w:line="240" w:lineRule="auto"/>
              <w:rPr>
                <w:b/>
                <w:color w:val="000000" w:themeColor="text1"/>
              </w:rPr>
            </w:pPr>
            <w:r>
              <w:rPr>
                <w:b/>
                <w:color w:val="000000" w:themeColor="text1"/>
              </w:rPr>
              <w:t>Application accompanied by $50 non-refundable fee</w:t>
            </w:r>
          </w:p>
          <w:p w14:paraId="77DF37C7" w14:textId="77777777" w:rsidR="00AD3508" w:rsidRDefault="00AD3508" w:rsidP="00390A78">
            <w:pPr>
              <w:pStyle w:val="ListParagraph"/>
              <w:spacing w:line="240" w:lineRule="auto"/>
              <w:rPr>
                <w:b/>
                <w:color w:val="000000" w:themeColor="text1"/>
              </w:rPr>
            </w:pPr>
          </w:p>
          <w:p w14:paraId="65CC1E2D" w14:textId="19EB7242" w:rsidR="00AD3508" w:rsidRDefault="00AD3508" w:rsidP="00390A78">
            <w:pPr>
              <w:pStyle w:val="ListParagraph"/>
              <w:numPr>
                <w:ilvl w:val="0"/>
                <w:numId w:val="26"/>
              </w:numPr>
              <w:spacing w:line="240" w:lineRule="auto"/>
              <w:rPr>
                <w:b/>
                <w:color w:val="000000" w:themeColor="text1"/>
              </w:rPr>
            </w:pPr>
            <w:r>
              <w:rPr>
                <w:b/>
                <w:color w:val="000000" w:themeColor="text1"/>
              </w:rPr>
              <w:t>A current resume</w:t>
            </w:r>
          </w:p>
          <w:p w14:paraId="788B1BE6" w14:textId="77777777" w:rsidR="00AD3508" w:rsidRPr="00390A78" w:rsidRDefault="00AD3508" w:rsidP="00390A78">
            <w:pPr>
              <w:spacing w:line="240" w:lineRule="auto"/>
              <w:rPr>
                <w:b/>
                <w:color w:val="000000" w:themeColor="text1"/>
              </w:rPr>
            </w:pPr>
          </w:p>
          <w:p w14:paraId="5D762EBA" w14:textId="67D71A2A" w:rsidR="00AD3508" w:rsidRDefault="00AD3508" w:rsidP="00390A78">
            <w:pPr>
              <w:pStyle w:val="ListParagraph"/>
              <w:numPr>
                <w:ilvl w:val="0"/>
                <w:numId w:val="26"/>
              </w:numPr>
              <w:spacing w:line="240" w:lineRule="auto"/>
              <w:rPr>
                <w:b/>
                <w:color w:val="000000" w:themeColor="text1"/>
              </w:rPr>
            </w:pPr>
            <w:r>
              <w:rPr>
                <w:b/>
                <w:color w:val="000000" w:themeColor="text1"/>
              </w:rPr>
              <w:t>One letter of reference</w:t>
            </w:r>
          </w:p>
          <w:p w14:paraId="4213A0B0" w14:textId="77777777" w:rsidR="00AD3508" w:rsidRPr="00390A78" w:rsidRDefault="00AD3508" w:rsidP="00390A78">
            <w:pPr>
              <w:spacing w:line="240" w:lineRule="auto"/>
              <w:rPr>
                <w:b/>
                <w:color w:val="000000" w:themeColor="text1"/>
              </w:rPr>
            </w:pPr>
          </w:p>
          <w:p w14:paraId="7584134D" w14:textId="496BD19E" w:rsidR="00AD3508" w:rsidRDefault="00AD3508" w:rsidP="00390A78">
            <w:pPr>
              <w:pStyle w:val="ListParagraph"/>
              <w:numPr>
                <w:ilvl w:val="0"/>
                <w:numId w:val="26"/>
              </w:numPr>
              <w:spacing w:line="240" w:lineRule="auto"/>
              <w:rPr>
                <w:b/>
                <w:color w:val="000000" w:themeColor="text1"/>
              </w:rPr>
            </w:pPr>
            <w:r>
              <w:rPr>
                <w:b/>
                <w:color w:val="000000" w:themeColor="text1"/>
              </w:rPr>
              <w:t>Advanced year enrollment and in good standing in the MSW program.</w:t>
            </w:r>
          </w:p>
          <w:p w14:paraId="1364C444" w14:textId="77777777" w:rsidR="00AD3508" w:rsidRPr="00390A78" w:rsidRDefault="00AD3508" w:rsidP="00390A78">
            <w:pPr>
              <w:spacing w:line="240" w:lineRule="auto"/>
              <w:rPr>
                <w:b/>
                <w:color w:val="000000" w:themeColor="text1"/>
              </w:rPr>
            </w:pPr>
          </w:p>
          <w:p w14:paraId="14C6A8FE" w14:textId="0B28DA2B" w:rsidR="00AD3508" w:rsidRPr="00390A78" w:rsidRDefault="00AD3508" w:rsidP="00390A78">
            <w:pPr>
              <w:pStyle w:val="ListParagraph"/>
              <w:numPr>
                <w:ilvl w:val="0"/>
                <w:numId w:val="26"/>
              </w:numPr>
              <w:spacing w:line="240" w:lineRule="auto"/>
              <w:rPr>
                <w:b/>
                <w:color w:val="000000" w:themeColor="text1"/>
              </w:rPr>
            </w:pPr>
            <w:r>
              <w:rPr>
                <w:b/>
                <w:color w:val="000000" w:themeColor="text1"/>
              </w:rPr>
              <w:t>Awarding of the certificate for current students is to be accompanied by graduation from the MSW program</w:t>
            </w:r>
          </w:p>
          <w:p w14:paraId="5A1530ED" w14:textId="05489731" w:rsidR="00AD3508" w:rsidRDefault="00AD3508" w:rsidP="00120C12">
            <w:pPr>
              <w:spacing w:line="240" w:lineRule="auto"/>
              <w:rPr>
                <w:b/>
                <w:color w:val="000000" w:themeColor="text1"/>
              </w:rPr>
            </w:pPr>
          </w:p>
          <w:p w14:paraId="4CDCE3E1" w14:textId="77777777" w:rsidR="00AD3508" w:rsidRDefault="00AD3508" w:rsidP="00120C12">
            <w:pPr>
              <w:spacing w:line="240" w:lineRule="auto"/>
              <w:rPr>
                <w:b/>
                <w:color w:val="000000" w:themeColor="text1"/>
              </w:rPr>
            </w:pPr>
          </w:p>
          <w:p w14:paraId="5A46EEFA" w14:textId="223D8596" w:rsidR="00AD3508" w:rsidRDefault="00AD3508" w:rsidP="00120C12">
            <w:pPr>
              <w:spacing w:line="240" w:lineRule="auto"/>
              <w:rPr>
                <w:b/>
                <w:color w:val="000000" w:themeColor="text1"/>
              </w:rPr>
            </w:pPr>
            <w:r>
              <w:rPr>
                <w:b/>
                <w:color w:val="000000" w:themeColor="text1"/>
              </w:rPr>
              <w:t xml:space="preserve">Note: </w:t>
            </w:r>
          </w:p>
          <w:p w14:paraId="5E626D22" w14:textId="744E921F" w:rsidR="00AD3508" w:rsidRDefault="00AD3508" w:rsidP="00120C12">
            <w:pPr>
              <w:spacing w:line="240" w:lineRule="auto"/>
              <w:rPr>
                <w:b/>
                <w:color w:val="000000" w:themeColor="text1"/>
              </w:rPr>
            </w:pPr>
            <w:r>
              <w:rPr>
                <w:b/>
                <w:color w:val="000000" w:themeColor="text1"/>
              </w:rPr>
              <w:t>The reason why this program is available for current MSW students is because people who already have licenses are not necessarily looking for college credits, but rather CEUs. After we pilot the curriculum, we will work with continuing Education to create a similar certificate.</w:t>
            </w:r>
          </w:p>
          <w:p w14:paraId="08D14E4C" w14:textId="7A02D8DF" w:rsidR="00AD3508" w:rsidRPr="003A1291" w:rsidRDefault="00AD3508" w:rsidP="00120C12">
            <w:pPr>
              <w:spacing w:line="240" w:lineRule="auto"/>
              <w:rPr>
                <w:b/>
                <w:color w:val="000000" w:themeColor="text1"/>
              </w:rPr>
            </w:pPr>
          </w:p>
        </w:tc>
      </w:tr>
      <w:bookmarkEnd w:id="19"/>
      <w:tr w:rsidR="00AD3508" w:rsidRPr="00A55212" w14:paraId="4FC3D574" w14:textId="77777777" w:rsidTr="00AD3508">
        <w:tc>
          <w:tcPr>
            <w:tcW w:w="2420" w:type="dxa"/>
            <w:noWrap/>
            <w:vAlign w:val="center"/>
          </w:tcPr>
          <w:p w14:paraId="29328D2B" w14:textId="1BFCB101" w:rsidR="00AD3508" w:rsidRPr="003A1291" w:rsidRDefault="00AD3508" w:rsidP="003F099C">
            <w:pPr>
              <w:spacing w:line="240" w:lineRule="auto"/>
              <w:rPr>
                <w:color w:val="000000" w:themeColor="text1"/>
              </w:rPr>
            </w:pPr>
            <w:r w:rsidRPr="003A1291">
              <w:rPr>
                <w:color w:val="000000" w:themeColor="text1"/>
              </w:rP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A1291">
                <w:rPr>
                  <w:rStyle w:val="Hyperlink"/>
                  <w:color w:val="000000" w:themeColor="text1"/>
                </w:rPr>
                <w:t>Retention requirements</w:t>
              </w:r>
            </w:hyperlink>
          </w:p>
        </w:tc>
        <w:tc>
          <w:tcPr>
            <w:tcW w:w="8010" w:type="dxa"/>
            <w:noWrap/>
          </w:tcPr>
          <w:p w14:paraId="2E73891F" w14:textId="77777777" w:rsidR="00AD3508" w:rsidRDefault="00AD3508" w:rsidP="00120C12">
            <w:pPr>
              <w:spacing w:line="240" w:lineRule="auto"/>
              <w:rPr>
                <w:b/>
                <w:color w:val="000000" w:themeColor="text1"/>
              </w:rPr>
            </w:pPr>
            <w:bookmarkStart w:id="21" w:name="retention"/>
            <w:bookmarkEnd w:id="21"/>
          </w:p>
          <w:p w14:paraId="1B3DF9AD" w14:textId="77777777" w:rsidR="00AD3508" w:rsidRDefault="00AD3508" w:rsidP="00120C12">
            <w:pPr>
              <w:spacing w:line="240" w:lineRule="auto"/>
              <w:rPr>
                <w:b/>
                <w:color w:val="000000" w:themeColor="text1"/>
              </w:rPr>
            </w:pPr>
            <w:r w:rsidRPr="00A55212">
              <w:rPr>
                <w:b/>
                <w:color w:val="000000" w:themeColor="text1"/>
              </w:rPr>
              <w:t>A minimum cumulative grade point average of 3.00 on a 4.00 s</w:t>
            </w:r>
            <w:r>
              <w:rPr>
                <w:b/>
                <w:color w:val="000000" w:themeColor="text1"/>
              </w:rPr>
              <w:t>cale</w:t>
            </w:r>
          </w:p>
          <w:p w14:paraId="2A3509C0" w14:textId="21DFA15C" w:rsidR="00AD3508" w:rsidRPr="00A55212" w:rsidRDefault="00AD3508" w:rsidP="00120C12">
            <w:pPr>
              <w:spacing w:line="240" w:lineRule="auto"/>
              <w:rPr>
                <w:b/>
                <w:color w:val="000000" w:themeColor="text1"/>
              </w:rPr>
            </w:pPr>
          </w:p>
        </w:tc>
      </w:tr>
      <w:tr w:rsidR="00AD3508" w:rsidRPr="003A1291" w14:paraId="18AE1454" w14:textId="77777777" w:rsidTr="00AD3508">
        <w:tc>
          <w:tcPr>
            <w:tcW w:w="2420" w:type="dxa"/>
            <w:noWrap/>
            <w:vAlign w:val="center"/>
          </w:tcPr>
          <w:p w14:paraId="26E0A0A7" w14:textId="3AAEEBE1" w:rsidR="00AD3508" w:rsidRPr="003A1291" w:rsidRDefault="00AD3508" w:rsidP="003F099C">
            <w:pPr>
              <w:spacing w:line="240" w:lineRule="auto"/>
              <w:rPr>
                <w:color w:val="000000" w:themeColor="text1"/>
              </w:rPr>
            </w:pPr>
            <w:r w:rsidRPr="003A1291">
              <w:rPr>
                <w:color w:val="000000" w:themeColor="text1"/>
              </w:rP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3A1291">
                <w:rPr>
                  <w:rStyle w:val="Hyperlink"/>
                  <w:color w:val="000000" w:themeColor="text1"/>
                </w:rPr>
                <w:t>Course requirements</w:t>
              </w:r>
            </w:hyperlink>
            <w:r w:rsidRPr="003A1291">
              <w:rPr>
                <w:color w:val="000000" w:themeColor="text1"/>
              </w:rPr>
              <w:t xml:space="preserve"> for each program option</w:t>
            </w:r>
          </w:p>
        </w:tc>
        <w:tc>
          <w:tcPr>
            <w:tcW w:w="8010" w:type="dxa"/>
            <w:noWrap/>
          </w:tcPr>
          <w:p w14:paraId="51D46197" w14:textId="77777777" w:rsidR="00AD3508" w:rsidRPr="003A1291" w:rsidRDefault="00AD3508" w:rsidP="00120C12">
            <w:pPr>
              <w:spacing w:line="240" w:lineRule="auto"/>
              <w:rPr>
                <w:b/>
                <w:color w:val="000000" w:themeColor="text1"/>
              </w:rPr>
            </w:pPr>
            <w:bookmarkStart w:id="22" w:name="course_reqs"/>
            <w:bookmarkEnd w:id="22"/>
          </w:p>
          <w:p w14:paraId="5BB0BE70" w14:textId="73190626" w:rsidR="00AD3508" w:rsidRDefault="00AD3508" w:rsidP="00120C12">
            <w:pPr>
              <w:spacing w:line="240" w:lineRule="auto"/>
              <w:rPr>
                <w:b/>
                <w:color w:val="000000" w:themeColor="text1"/>
              </w:rPr>
            </w:pPr>
            <w:r>
              <w:rPr>
                <w:b/>
                <w:color w:val="000000" w:themeColor="text1"/>
              </w:rPr>
              <w:t>SWRK 655: Mental Health and Substance Use Disorder</w:t>
            </w:r>
            <w:r w:rsidR="00072A0B">
              <w:rPr>
                <w:b/>
                <w:color w:val="000000" w:themeColor="text1"/>
              </w:rPr>
              <w:t>s</w:t>
            </w:r>
            <w:r>
              <w:rPr>
                <w:b/>
                <w:color w:val="000000" w:themeColor="text1"/>
              </w:rPr>
              <w:t xml:space="preserve"> (3)</w:t>
            </w:r>
          </w:p>
          <w:p w14:paraId="1ABB9736" w14:textId="29A4C3B1" w:rsidR="00AD3508" w:rsidRDefault="00AD3508" w:rsidP="00120C12">
            <w:pPr>
              <w:spacing w:line="240" w:lineRule="auto"/>
              <w:rPr>
                <w:b/>
                <w:color w:val="000000" w:themeColor="text1"/>
              </w:rPr>
            </w:pPr>
          </w:p>
          <w:p w14:paraId="30F4254F" w14:textId="2AE88AA0" w:rsidR="00AD3508" w:rsidRDefault="00AD3508" w:rsidP="00120C12">
            <w:pPr>
              <w:spacing w:line="240" w:lineRule="auto"/>
              <w:rPr>
                <w:b/>
                <w:color w:val="000000" w:themeColor="text1"/>
              </w:rPr>
            </w:pPr>
            <w:r>
              <w:rPr>
                <w:b/>
                <w:color w:val="000000" w:themeColor="text1"/>
              </w:rPr>
              <w:t>SWRK 600: Field Seminar III                                                         (4)</w:t>
            </w:r>
          </w:p>
          <w:p w14:paraId="239CEB21" w14:textId="55F5285B" w:rsidR="00AD3508" w:rsidRDefault="00AD3508" w:rsidP="00120C12">
            <w:pPr>
              <w:spacing w:line="240" w:lineRule="auto"/>
              <w:rPr>
                <w:b/>
                <w:color w:val="000000" w:themeColor="text1"/>
              </w:rPr>
            </w:pPr>
          </w:p>
          <w:p w14:paraId="3919FCF5" w14:textId="4204D14B" w:rsidR="00AD3508" w:rsidRDefault="00AD3508" w:rsidP="00120C12">
            <w:pPr>
              <w:spacing w:line="240" w:lineRule="auto"/>
              <w:rPr>
                <w:b/>
                <w:color w:val="000000" w:themeColor="text1"/>
              </w:rPr>
            </w:pPr>
            <w:r>
              <w:rPr>
                <w:b/>
                <w:color w:val="000000" w:themeColor="text1"/>
              </w:rPr>
              <w:t>SWRK 601: Field Seminar IV                                                         (4)</w:t>
            </w:r>
          </w:p>
          <w:p w14:paraId="4C7395CC" w14:textId="094697E4" w:rsidR="00AD3508" w:rsidRDefault="00AD3508" w:rsidP="00120C12">
            <w:pPr>
              <w:spacing w:line="240" w:lineRule="auto"/>
              <w:rPr>
                <w:b/>
                <w:color w:val="000000" w:themeColor="text1"/>
              </w:rPr>
            </w:pPr>
          </w:p>
          <w:p w14:paraId="743DC511" w14:textId="64120421" w:rsidR="00AD3508" w:rsidRDefault="00AD3508" w:rsidP="00120C12">
            <w:pPr>
              <w:spacing w:line="240" w:lineRule="auto"/>
              <w:rPr>
                <w:b/>
                <w:color w:val="000000" w:themeColor="text1"/>
              </w:rPr>
            </w:pPr>
            <w:r>
              <w:rPr>
                <w:b/>
                <w:color w:val="000000" w:themeColor="text1"/>
              </w:rPr>
              <w:t>SWRK 644: Clinical evaluation &amp; case consultation I     (1.5)</w:t>
            </w:r>
          </w:p>
          <w:p w14:paraId="0969F693" w14:textId="412512CF" w:rsidR="00AD3508" w:rsidRDefault="00AD3508" w:rsidP="00120C12">
            <w:pPr>
              <w:spacing w:line="240" w:lineRule="auto"/>
              <w:rPr>
                <w:b/>
                <w:color w:val="000000" w:themeColor="text1"/>
              </w:rPr>
            </w:pPr>
          </w:p>
          <w:p w14:paraId="171AA4A8" w14:textId="644EAD82" w:rsidR="00AD3508" w:rsidRDefault="00AD3508" w:rsidP="00A55212">
            <w:pPr>
              <w:spacing w:line="240" w:lineRule="auto"/>
              <w:rPr>
                <w:b/>
                <w:color w:val="000000" w:themeColor="text1"/>
              </w:rPr>
            </w:pPr>
            <w:r>
              <w:rPr>
                <w:b/>
                <w:color w:val="000000" w:themeColor="text1"/>
              </w:rPr>
              <w:t>SWRK 646: Clinical evaluation &amp; case consultation II   (1.5)</w:t>
            </w:r>
          </w:p>
          <w:p w14:paraId="5A32A772" w14:textId="77777777" w:rsidR="00AD3508" w:rsidRDefault="00AD3508" w:rsidP="00A55212">
            <w:pPr>
              <w:spacing w:line="240" w:lineRule="auto"/>
              <w:rPr>
                <w:b/>
                <w:color w:val="000000" w:themeColor="text1"/>
              </w:rPr>
            </w:pPr>
          </w:p>
          <w:p w14:paraId="464F6BE3" w14:textId="742B837D" w:rsidR="00AD3508" w:rsidRDefault="00AD3508" w:rsidP="00120C12">
            <w:pPr>
              <w:spacing w:line="240" w:lineRule="auto"/>
              <w:rPr>
                <w:b/>
                <w:color w:val="000000" w:themeColor="text1"/>
              </w:rPr>
            </w:pPr>
          </w:p>
          <w:p w14:paraId="147A9207" w14:textId="74B5E371" w:rsidR="00AD3508" w:rsidRPr="003A1291" w:rsidRDefault="00AD3508" w:rsidP="00120C12">
            <w:pPr>
              <w:spacing w:line="240" w:lineRule="auto"/>
              <w:rPr>
                <w:b/>
                <w:color w:val="000000" w:themeColor="text1"/>
              </w:rPr>
            </w:pPr>
            <w:r>
              <w:rPr>
                <w:b/>
                <w:color w:val="000000" w:themeColor="text1"/>
              </w:rPr>
              <w:t xml:space="preserve">SWRK 690: Independent study: </w:t>
            </w:r>
            <w:r w:rsidRPr="009A218F">
              <w:rPr>
                <w:b/>
                <w:color w:val="000000" w:themeColor="text1"/>
              </w:rPr>
              <w:t>Telebehavioral Health   (1)</w:t>
            </w:r>
          </w:p>
          <w:p w14:paraId="17C26BCB" w14:textId="7AD6585F" w:rsidR="00AD3508" w:rsidRPr="003A1291" w:rsidRDefault="00AD3508" w:rsidP="00120C12">
            <w:pPr>
              <w:spacing w:line="240" w:lineRule="auto"/>
              <w:rPr>
                <w:b/>
                <w:color w:val="000000" w:themeColor="text1"/>
              </w:rPr>
            </w:pPr>
          </w:p>
        </w:tc>
      </w:tr>
      <w:tr w:rsidR="00BC3587" w:rsidRPr="003A1291" w14:paraId="51FC4DBC" w14:textId="77777777" w:rsidTr="00AD3508">
        <w:tc>
          <w:tcPr>
            <w:tcW w:w="2420" w:type="dxa"/>
            <w:noWrap/>
            <w:vAlign w:val="center"/>
          </w:tcPr>
          <w:p w14:paraId="39174090" w14:textId="77777777" w:rsidR="00BC3587" w:rsidRPr="003A1291" w:rsidRDefault="00BC3587" w:rsidP="003F099C">
            <w:pPr>
              <w:spacing w:line="240" w:lineRule="auto"/>
              <w:rPr>
                <w:color w:val="000000" w:themeColor="text1"/>
              </w:rPr>
            </w:pPr>
          </w:p>
        </w:tc>
        <w:tc>
          <w:tcPr>
            <w:tcW w:w="8010" w:type="dxa"/>
            <w:noWrap/>
          </w:tcPr>
          <w:p w14:paraId="4C14B8A4" w14:textId="77777777" w:rsidR="00BC3587" w:rsidRPr="003A1291" w:rsidRDefault="00BC3587" w:rsidP="00120C12">
            <w:pPr>
              <w:spacing w:line="240" w:lineRule="auto"/>
              <w:rPr>
                <w:b/>
                <w:color w:val="000000" w:themeColor="text1"/>
              </w:rPr>
            </w:pPr>
          </w:p>
        </w:tc>
      </w:tr>
      <w:tr w:rsidR="00AD3508" w:rsidRPr="003A1291" w14:paraId="26A1F817" w14:textId="77777777" w:rsidTr="00AD3508">
        <w:tc>
          <w:tcPr>
            <w:tcW w:w="2420" w:type="dxa"/>
            <w:noWrap/>
            <w:vAlign w:val="center"/>
          </w:tcPr>
          <w:p w14:paraId="694E9C3A" w14:textId="2AF168FA" w:rsidR="00AD3508" w:rsidRPr="003A1291" w:rsidRDefault="00AD3508" w:rsidP="00A442D7">
            <w:pPr>
              <w:spacing w:line="240" w:lineRule="auto"/>
              <w:rPr>
                <w:color w:val="000000" w:themeColor="text1"/>
              </w:rPr>
            </w:pPr>
            <w:r w:rsidRPr="003A1291">
              <w:rPr>
                <w:color w:val="000000" w:themeColor="text1"/>
              </w:rP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3A1291">
                <w:rPr>
                  <w:rStyle w:val="Hyperlink"/>
                  <w:color w:val="000000" w:themeColor="text1"/>
                </w:rPr>
                <w:t>Credit count</w:t>
              </w:r>
            </w:hyperlink>
            <w:r w:rsidRPr="003A1291">
              <w:rPr>
                <w:rStyle w:val="Hyperlink"/>
                <w:color w:val="000000" w:themeColor="text1"/>
              </w:rPr>
              <w:t xml:space="preserve"> for each program option</w:t>
            </w:r>
          </w:p>
        </w:tc>
        <w:tc>
          <w:tcPr>
            <w:tcW w:w="8010" w:type="dxa"/>
            <w:noWrap/>
          </w:tcPr>
          <w:p w14:paraId="62B170C3" w14:textId="1E08E7CF" w:rsidR="00AD3508" w:rsidRDefault="00AD3508" w:rsidP="00120C12">
            <w:pPr>
              <w:spacing w:line="240" w:lineRule="auto"/>
              <w:rPr>
                <w:b/>
                <w:color w:val="000000" w:themeColor="text1"/>
              </w:rPr>
            </w:pPr>
            <w:bookmarkStart w:id="23" w:name="credit_count"/>
            <w:bookmarkEnd w:id="23"/>
            <w:r>
              <w:rPr>
                <w:b/>
                <w:color w:val="000000" w:themeColor="text1"/>
              </w:rPr>
              <w:t>15 credits</w:t>
            </w:r>
          </w:p>
          <w:p w14:paraId="421B2688" w14:textId="59887305" w:rsidR="00AD3508" w:rsidRPr="003A1291" w:rsidRDefault="00AD3508" w:rsidP="00120C12">
            <w:pPr>
              <w:spacing w:line="240" w:lineRule="auto"/>
              <w:rPr>
                <w:b/>
                <w:color w:val="000000" w:themeColor="text1"/>
              </w:rPr>
            </w:pPr>
          </w:p>
        </w:tc>
      </w:tr>
      <w:tr w:rsidR="00AD3508" w:rsidRPr="003A1291" w14:paraId="7F1C9B8C" w14:textId="77777777" w:rsidTr="00AD3508">
        <w:tc>
          <w:tcPr>
            <w:tcW w:w="2420" w:type="dxa"/>
            <w:noWrap/>
            <w:vAlign w:val="center"/>
          </w:tcPr>
          <w:p w14:paraId="1F368772" w14:textId="6595B277" w:rsidR="00AD3508" w:rsidRPr="003A1291" w:rsidRDefault="00AD3508" w:rsidP="009545B6">
            <w:pPr>
              <w:spacing w:line="240" w:lineRule="auto"/>
              <w:rPr>
                <w:color w:val="000000" w:themeColor="text1"/>
              </w:rPr>
            </w:pPr>
            <w:r w:rsidRPr="003A1291">
              <w:rPr>
                <w:color w:val="000000" w:themeColor="text1"/>
              </w:rPr>
              <w:t xml:space="preserve">C.6. Requirement for thesis, project, or comprehensive exam </w:t>
            </w:r>
          </w:p>
        </w:tc>
        <w:tc>
          <w:tcPr>
            <w:tcW w:w="8010" w:type="dxa"/>
            <w:noWrap/>
          </w:tcPr>
          <w:p w14:paraId="77B8B754" w14:textId="77777777" w:rsidR="00AD3508" w:rsidRDefault="00AD3508" w:rsidP="00120C12">
            <w:pPr>
              <w:spacing w:line="240" w:lineRule="auto"/>
              <w:rPr>
                <w:b/>
                <w:color w:val="000000" w:themeColor="text1"/>
              </w:rPr>
            </w:pPr>
          </w:p>
          <w:p w14:paraId="606789C1" w14:textId="078CA2A5" w:rsidR="00AD3508" w:rsidRPr="003A1291" w:rsidRDefault="00AD3508" w:rsidP="00120C12">
            <w:pPr>
              <w:spacing w:line="240" w:lineRule="auto"/>
              <w:rPr>
                <w:b/>
                <w:color w:val="000000" w:themeColor="text1"/>
              </w:rPr>
            </w:pPr>
            <w:r>
              <w:rPr>
                <w:b/>
                <w:color w:val="000000" w:themeColor="text1"/>
              </w:rPr>
              <w:t>N/A</w:t>
            </w:r>
          </w:p>
        </w:tc>
      </w:tr>
      <w:tr w:rsidR="00AD3508" w:rsidRPr="003A1291" w14:paraId="17D863F5" w14:textId="77777777" w:rsidTr="00AD3508">
        <w:tc>
          <w:tcPr>
            <w:tcW w:w="2420" w:type="dxa"/>
            <w:noWrap/>
            <w:vAlign w:val="center"/>
          </w:tcPr>
          <w:p w14:paraId="1621DBFD" w14:textId="3A8EC0B3" w:rsidR="00AD3508" w:rsidRPr="003A1291" w:rsidRDefault="00AD3508" w:rsidP="003F099C">
            <w:pPr>
              <w:spacing w:line="240" w:lineRule="auto"/>
              <w:rPr>
                <w:color w:val="000000" w:themeColor="text1"/>
              </w:rPr>
            </w:pPr>
            <w:r w:rsidRPr="003A1291">
              <w:rPr>
                <w:color w:val="000000" w:themeColor="text1"/>
              </w:rPr>
              <w:t>C.7. Other changes if any</w:t>
            </w:r>
          </w:p>
        </w:tc>
        <w:tc>
          <w:tcPr>
            <w:tcW w:w="8010" w:type="dxa"/>
            <w:noWrap/>
          </w:tcPr>
          <w:p w14:paraId="4649CA08" w14:textId="3F4A600B" w:rsidR="00AD3508" w:rsidRPr="003A1291" w:rsidRDefault="00AD3508" w:rsidP="00120C12">
            <w:pPr>
              <w:spacing w:line="240" w:lineRule="auto"/>
              <w:rPr>
                <w:b/>
                <w:color w:val="000000" w:themeColor="text1"/>
              </w:rPr>
            </w:pPr>
            <w:r>
              <w:rPr>
                <w:b/>
                <w:color w:val="000000" w:themeColor="text1"/>
              </w:rPr>
              <w:t>N/A</w:t>
            </w: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4" w:name="_Signature"/>
        <w:bookmarkEnd w:id="24"/>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5" w:name="acknowledge"/>
        <w:bookmarkEnd w:id="25"/>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5E5E3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6" w:name="Signature_2"/>
            <w:bookmarkEnd w:id="26"/>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9EA5" w14:textId="77777777" w:rsidR="005E5E35" w:rsidRDefault="005E5E35" w:rsidP="00FA78CA">
      <w:pPr>
        <w:spacing w:line="240" w:lineRule="auto"/>
      </w:pPr>
      <w:r>
        <w:separator/>
      </w:r>
    </w:p>
  </w:endnote>
  <w:endnote w:type="continuationSeparator" w:id="0">
    <w:p w14:paraId="56102DAF" w14:textId="77777777" w:rsidR="005E5E35" w:rsidRDefault="005E5E3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84686">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84686">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782F" w14:textId="77777777" w:rsidR="005E5E35" w:rsidRDefault="005E5E35" w:rsidP="00FA78CA">
      <w:pPr>
        <w:spacing w:line="240" w:lineRule="auto"/>
      </w:pPr>
      <w:r>
        <w:separator/>
      </w:r>
    </w:p>
  </w:footnote>
  <w:footnote w:type="continuationSeparator" w:id="0">
    <w:p w14:paraId="29BE5270" w14:textId="77777777" w:rsidR="005E5E35" w:rsidRDefault="005E5E3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AC6C" w14:textId="77777777" w:rsidR="00AD3508"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D3508" w:rsidRPr="00AD3508">
      <w:rPr>
        <w:color w:val="4F6228"/>
      </w:rPr>
      <w:t>1920_3</w:t>
    </w:r>
    <w:r w:rsidR="00AD3508">
      <w:rPr>
        <w:color w:val="4F6228"/>
      </w:rPr>
      <w:t>9</w:t>
    </w:r>
    <w:r w:rsidR="00AD3508" w:rsidRPr="00AD3508">
      <w:rPr>
        <w:color w:val="4F6228"/>
      </w:rPr>
      <w:t xml:space="preserve"> New </w:t>
    </w:r>
    <w:r w:rsidR="00AD3508">
      <w:rPr>
        <w:color w:val="4F6228"/>
      </w:rPr>
      <w:t xml:space="preserve">CGS COD and MH </w:t>
    </w:r>
    <w:r w:rsidR="00AD3508">
      <w:rPr>
        <w:color w:val="4F6228"/>
      </w:rPr>
      <w:tab/>
    </w:r>
    <w:r w:rsidR="00AD3508">
      <w:rPr>
        <w:color w:val="4F6228"/>
      </w:rPr>
      <w:tab/>
    </w:r>
    <w:r w:rsidR="00AD3508">
      <w:rPr>
        <w:color w:val="4F6228"/>
      </w:rPr>
      <w:tab/>
    </w:r>
  </w:p>
  <w:p w14:paraId="44CC6DED" w14:textId="6C18FFE6"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Pr="004254A0">
      <w:rPr>
        <w:color w:val="4F6228"/>
      </w:rPr>
      <w:tab/>
    </w:r>
    <w:r w:rsidR="00AD3508">
      <w:rPr>
        <w:color w:val="4F6228"/>
      </w:rPr>
      <w:t>1/21/2020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D2D"/>
    <w:multiLevelType w:val="hybridMultilevel"/>
    <w:tmpl w:val="92E0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60A3"/>
    <w:multiLevelType w:val="hybridMultilevel"/>
    <w:tmpl w:val="48624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07A8"/>
    <w:multiLevelType w:val="hybridMultilevel"/>
    <w:tmpl w:val="386E2B28"/>
    <w:lvl w:ilvl="0" w:tplc="E8F23A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917E6D"/>
    <w:multiLevelType w:val="hybridMultilevel"/>
    <w:tmpl w:val="9842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34F90"/>
    <w:multiLevelType w:val="hybridMultilevel"/>
    <w:tmpl w:val="169E0B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C1B35"/>
    <w:multiLevelType w:val="hybridMultilevel"/>
    <w:tmpl w:val="461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94A57"/>
    <w:multiLevelType w:val="hybridMultilevel"/>
    <w:tmpl w:val="22A0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2A08C1"/>
    <w:multiLevelType w:val="hybridMultilevel"/>
    <w:tmpl w:val="56B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17C36"/>
    <w:multiLevelType w:val="hybridMultilevel"/>
    <w:tmpl w:val="6AB4DA2E"/>
    <w:lvl w:ilvl="0" w:tplc="B3B4B6A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835C4"/>
    <w:multiLevelType w:val="hybridMultilevel"/>
    <w:tmpl w:val="D810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27FEB"/>
    <w:multiLevelType w:val="hybridMultilevel"/>
    <w:tmpl w:val="97A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9030AC"/>
    <w:multiLevelType w:val="hybridMultilevel"/>
    <w:tmpl w:val="92E03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519CE"/>
    <w:multiLevelType w:val="hybridMultilevel"/>
    <w:tmpl w:val="51D8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F7CE1"/>
    <w:multiLevelType w:val="hybridMultilevel"/>
    <w:tmpl w:val="814823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07C0D42"/>
    <w:multiLevelType w:val="hybridMultilevel"/>
    <w:tmpl w:val="47D65E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8"/>
  </w:num>
  <w:num w:numId="6">
    <w:abstractNumId w:val="20"/>
  </w:num>
  <w:num w:numId="7">
    <w:abstractNumId w:val="4"/>
  </w:num>
  <w:num w:numId="8">
    <w:abstractNumId w:val="11"/>
  </w:num>
  <w:num w:numId="9">
    <w:abstractNumId w:val="14"/>
  </w:num>
  <w:num w:numId="10">
    <w:abstractNumId w:val="7"/>
  </w:num>
  <w:num w:numId="11">
    <w:abstractNumId w:val="25"/>
  </w:num>
  <w:num w:numId="12">
    <w:abstractNumId w:val="1"/>
  </w:num>
  <w:num w:numId="13">
    <w:abstractNumId w:val="18"/>
  </w:num>
  <w:num w:numId="14">
    <w:abstractNumId w:val="17"/>
  </w:num>
  <w:num w:numId="15">
    <w:abstractNumId w:val="2"/>
  </w:num>
  <w:num w:numId="16">
    <w:abstractNumId w:val="21"/>
  </w:num>
  <w:num w:numId="17">
    <w:abstractNumId w:val="13"/>
  </w:num>
  <w:num w:numId="18">
    <w:abstractNumId w:val="16"/>
  </w:num>
  <w:num w:numId="19">
    <w:abstractNumId w:val="23"/>
  </w:num>
  <w:num w:numId="20">
    <w:abstractNumId w:val="9"/>
  </w:num>
  <w:num w:numId="21">
    <w:abstractNumId w:val="0"/>
  </w:num>
  <w:num w:numId="22">
    <w:abstractNumId w:val="24"/>
  </w:num>
  <w:num w:numId="23">
    <w:abstractNumId w:val="10"/>
  </w:num>
  <w:num w:numId="24">
    <w:abstractNumId w:val="2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7D30"/>
    <w:rsid w:val="00010085"/>
    <w:rsid w:val="00013152"/>
    <w:rsid w:val="00017C7D"/>
    <w:rsid w:val="000301C7"/>
    <w:rsid w:val="000357A5"/>
    <w:rsid w:val="0004554C"/>
    <w:rsid w:val="00053F31"/>
    <w:rsid w:val="000556B3"/>
    <w:rsid w:val="00072A0B"/>
    <w:rsid w:val="00073DC2"/>
    <w:rsid w:val="000810FF"/>
    <w:rsid w:val="00084B15"/>
    <w:rsid w:val="000A36CD"/>
    <w:rsid w:val="000A72E5"/>
    <w:rsid w:val="000B0565"/>
    <w:rsid w:val="000B2713"/>
    <w:rsid w:val="000D1497"/>
    <w:rsid w:val="000D21F2"/>
    <w:rsid w:val="000D5929"/>
    <w:rsid w:val="000E2CBA"/>
    <w:rsid w:val="001010FA"/>
    <w:rsid w:val="00101BA4"/>
    <w:rsid w:val="0011690A"/>
    <w:rsid w:val="00120C12"/>
    <w:rsid w:val="001278A4"/>
    <w:rsid w:val="001304E5"/>
    <w:rsid w:val="0013176C"/>
    <w:rsid w:val="00131B87"/>
    <w:rsid w:val="001429AA"/>
    <w:rsid w:val="001471E4"/>
    <w:rsid w:val="00154607"/>
    <w:rsid w:val="00157C9D"/>
    <w:rsid w:val="00176636"/>
    <w:rsid w:val="00176C55"/>
    <w:rsid w:val="00181A4B"/>
    <w:rsid w:val="001A37FB"/>
    <w:rsid w:val="001A51ED"/>
    <w:rsid w:val="001B2E3A"/>
    <w:rsid w:val="001F351F"/>
    <w:rsid w:val="0020058E"/>
    <w:rsid w:val="0021587D"/>
    <w:rsid w:val="00237355"/>
    <w:rsid w:val="00240259"/>
    <w:rsid w:val="0026461B"/>
    <w:rsid w:val="0027634D"/>
    <w:rsid w:val="00284473"/>
    <w:rsid w:val="002850DD"/>
    <w:rsid w:val="00290E18"/>
    <w:rsid w:val="00292D43"/>
    <w:rsid w:val="00293639"/>
    <w:rsid w:val="00296BA1"/>
    <w:rsid w:val="0029768B"/>
    <w:rsid w:val="002A3788"/>
    <w:rsid w:val="002A66CF"/>
    <w:rsid w:val="002B1EEA"/>
    <w:rsid w:val="002B1FF7"/>
    <w:rsid w:val="002B24F6"/>
    <w:rsid w:val="002B6233"/>
    <w:rsid w:val="002B7880"/>
    <w:rsid w:val="002C3D63"/>
    <w:rsid w:val="002D02BC"/>
    <w:rsid w:val="002D4773"/>
    <w:rsid w:val="002D49F8"/>
    <w:rsid w:val="002D593E"/>
    <w:rsid w:val="002E6AEB"/>
    <w:rsid w:val="002F35AF"/>
    <w:rsid w:val="00310D95"/>
    <w:rsid w:val="00334441"/>
    <w:rsid w:val="00345149"/>
    <w:rsid w:val="00376A8B"/>
    <w:rsid w:val="00390A78"/>
    <w:rsid w:val="003A1291"/>
    <w:rsid w:val="003A45F6"/>
    <w:rsid w:val="003B2F7F"/>
    <w:rsid w:val="003B4A52"/>
    <w:rsid w:val="003C1A54"/>
    <w:rsid w:val="003C23F0"/>
    <w:rsid w:val="003C3E00"/>
    <w:rsid w:val="003C511E"/>
    <w:rsid w:val="003D7372"/>
    <w:rsid w:val="003F099C"/>
    <w:rsid w:val="003F4E82"/>
    <w:rsid w:val="00402602"/>
    <w:rsid w:val="00406318"/>
    <w:rsid w:val="004224AA"/>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54308"/>
    <w:rsid w:val="0055490A"/>
    <w:rsid w:val="0055742F"/>
    <w:rsid w:val="00572D40"/>
    <w:rsid w:val="005873E3"/>
    <w:rsid w:val="00587DC6"/>
    <w:rsid w:val="00596C5A"/>
    <w:rsid w:val="005C23BD"/>
    <w:rsid w:val="005C37AA"/>
    <w:rsid w:val="005C3F83"/>
    <w:rsid w:val="005C7C5B"/>
    <w:rsid w:val="005D389E"/>
    <w:rsid w:val="005E5E35"/>
    <w:rsid w:val="005E752D"/>
    <w:rsid w:val="005F2A05"/>
    <w:rsid w:val="005F71EB"/>
    <w:rsid w:val="0060382D"/>
    <w:rsid w:val="00630AF7"/>
    <w:rsid w:val="00663C1F"/>
    <w:rsid w:val="00670869"/>
    <w:rsid w:val="006761E1"/>
    <w:rsid w:val="00683AEB"/>
    <w:rsid w:val="00684CA8"/>
    <w:rsid w:val="006970B0"/>
    <w:rsid w:val="006C3E5F"/>
    <w:rsid w:val="006D047E"/>
    <w:rsid w:val="006E3AF2"/>
    <w:rsid w:val="006E6680"/>
    <w:rsid w:val="006E6CF1"/>
    <w:rsid w:val="006F7F90"/>
    <w:rsid w:val="0070451E"/>
    <w:rsid w:val="00704CFF"/>
    <w:rsid w:val="00706745"/>
    <w:rsid w:val="007072F7"/>
    <w:rsid w:val="00730981"/>
    <w:rsid w:val="0074235B"/>
    <w:rsid w:val="00743AD2"/>
    <w:rsid w:val="007445F4"/>
    <w:rsid w:val="007554DE"/>
    <w:rsid w:val="00760EA6"/>
    <w:rsid w:val="00761537"/>
    <w:rsid w:val="007645EB"/>
    <w:rsid w:val="00781686"/>
    <w:rsid w:val="00785CDE"/>
    <w:rsid w:val="00786121"/>
    <w:rsid w:val="00796AF7"/>
    <w:rsid w:val="007970C3"/>
    <w:rsid w:val="007A5702"/>
    <w:rsid w:val="007B10BE"/>
    <w:rsid w:val="007C2792"/>
    <w:rsid w:val="007E44B1"/>
    <w:rsid w:val="007F29A0"/>
    <w:rsid w:val="008122C6"/>
    <w:rsid w:val="00813D3F"/>
    <w:rsid w:val="0085229B"/>
    <w:rsid w:val="008555D8"/>
    <w:rsid w:val="008628B1"/>
    <w:rsid w:val="00865915"/>
    <w:rsid w:val="00872775"/>
    <w:rsid w:val="008745BA"/>
    <w:rsid w:val="008847FE"/>
    <w:rsid w:val="00890863"/>
    <w:rsid w:val="00890CFD"/>
    <w:rsid w:val="0089234B"/>
    <w:rsid w:val="008927AF"/>
    <w:rsid w:val="0089400B"/>
    <w:rsid w:val="00896897"/>
    <w:rsid w:val="008A5FCC"/>
    <w:rsid w:val="008B1F84"/>
    <w:rsid w:val="008C74C0"/>
    <w:rsid w:val="008E0FCD"/>
    <w:rsid w:val="008E3EFA"/>
    <w:rsid w:val="008E48E4"/>
    <w:rsid w:val="008F0AFB"/>
    <w:rsid w:val="00905E67"/>
    <w:rsid w:val="009262CD"/>
    <w:rsid w:val="00932B72"/>
    <w:rsid w:val="00936421"/>
    <w:rsid w:val="009367B9"/>
    <w:rsid w:val="009458D2"/>
    <w:rsid w:val="00946B20"/>
    <w:rsid w:val="00950D19"/>
    <w:rsid w:val="009545B6"/>
    <w:rsid w:val="00955582"/>
    <w:rsid w:val="00962121"/>
    <w:rsid w:val="0098046D"/>
    <w:rsid w:val="00981818"/>
    <w:rsid w:val="00987CC3"/>
    <w:rsid w:val="00995D8F"/>
    <w:rsid w:val="009A05F7"/>
    <w:rsid w:val="009A218F"/>
    <w:rsid w:val="009A4E6F"/>
    <w:rsid w:val="009A58C1"/>
    <w:rsid w:val="009B17A1"/>
    <w:rsid w:val="009B2EFA"/>
    <w:rsid w:val="009B7AAF"/>
    <w:rsid w:val="009C1440"/>
    <w:rsid w:val="009D191B"/>
    <w:rsid w:val="009D301F"/>
    <w:rsid w:val="009F029C"/>
    <w:rsid w:val="009F2F3E"/>
    <w:rsid w:val="009F354A"/>
    <w:rsid w:val="00A01611"/>
    <w:rsid w:val="00A04A92"/>
    <w:rsid w:val="00A06E22"/>
    <w:rsid w:val="00A11DCD"/>
    <w:rsid w:val="00A32214"/>
    <w:rsid w:val="00A442D7"/>
    <w:rsid w:val="00A51FBC"/>
    <w:rsid w:val="00A54783"/>
    <w:rsid w:val="00A55212"/>
    <w:rsid w:val="00A5525B"/>
    <w:rsid w:val="00A56D5F"/>
    <w:rsid w:val="00A6264E"/>
    <w:rsid w:val="00A76B76"/>
    <w:rsid w:val="00A80F49"/>
    <w:rsid w:val="00A836FF"/>
    <w:rsid w:val="00A83A6C"/>
    <w:rsid w:val="00A8451E"/>
    <w:rsid w:val="00A84686"/>
    <w:rsid w:val="00A85BAB"/>
    <w:rsid w:val="00A87611"/>
    <w:rsid w:val="00A90A26"/>
    <w:rsid w:val="00A94B5A"/>
    <w:rsid w:val="00AC3032"/>
    <w:rsid w:val="00AD3508"/>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4C59"/>
    <w:rsid w:val="00B85854"/>
    <w:rsid w:val="00B862BF"/>
    <w:rsid w:val="00B87B39"/>
    <w:rsid w:val="00BB11B9"/>
    <w:rsid w:val="00BB165D"/>
    <w:rsid w:val="00BC3587"/>
    <w:rsid w:val="00BC42B6"/>
    <w:rsid w:val="00BC42EB"/>
    <w:rsid w:val="00BD40C6"/>
    <w:rsid w:val="00BF1795"/>
    <w:rsid w:val="00BF1A78"/>
    <w:rsid w:val="00C0654C"/>
    <w:rsid w:val="00C11283"/>
    <w:rsid w:val="00C21405"/>
    <w:rsid w:val="00C25F9D"/>
    <w:rsid w:val="00C31E83"/>
    <w:rsid w:val="00C518C1"/>
    <w:rsid w:val="00C53751"/>
    <w:rsid w:val="00C629CB"/>
    <w:rsid w:val="00C63F4F"/>
    <w:rsid w:val="00C94576"/>
    <w:rsid w:val="00C969FA"/>
    <w:rsid w:val="00C97577"/>
    <w:rsid w:val="00CA71A8"/>
    <w:rsid w:val="00CB0DBB"/>
    <w:rsid w:val="00CB4CB9"/>
    <w:rsid w:val="00CC3E7A"/>
    <w:rsid w:val="00CC7EEE"/>
    <w:rsid w:val="00CD18DD"/>
    <w:rsid w:val="00D50FE1"/>
    <w:rsid w:val="00D55C9A"/>
    <w:rsid w:val="00D56C09"/>
    <w:rsid w:val="00D64DF4"/>
    <w:rsid w:val="00D65A71"/>
    <w:rsid w:val="00D65F02"/>
    <w:rsid w:val="00D753E2"/>
    <w:rsid w:val="00D75FF8"/>
    <w:rsid w:val="00D842A2"/>
    <w:rsid w:val="00D969CF"/>
    <w:rsid w:val="00DA73A0"/>
    <w:rsid w:val="00DB23D4"/>
    <w:rsid w:val="00DB63D4"/>
    <w:rsid w:val="00DC48D6"/>
    <w:rsid w:val="00DD69AE"/>
    <w:rsid w:val="00DE2B7A"/>
    <w:rsid w:val="00DF06F0"/>
    <w:rsid w:val="00DF4FCD"/>
    <w:rsid w:val="00DF535D"/>
    <w:rsid w:val="00DF7C07"/>
    <w:rsid w:val="00E06C16"/>
    <w:rsid w:val="00E36AF7"/>
    <w:rsid w:val="00E4755D"/>
    <w:rsid w:val="00E47897"/>
    <w:rsid w:val="00E521CF"/>
    <w:rsid w:val="00E641DE"/>
    <w:rsid w:val="00E93A54"/>
    <w:rsid w:val="00EB33FD"/>
    <w:rsid w:val="00EC63A4"/>
    <w:rsid w:val="00EC7B24"/>
    <w:rsid w:val="00ED10F6"/>
    <w:rsid w:val="00ED1712"/>
    <w:rsid w:val="00ED1BF0"/>
    <w:rsid w:val="00EF3B20"/>
    <w:rsid w:val="00F06DDF"/>
    <w:rsid w:val="00F113DB"/>
    <w:rsid w:val="00F15B95"/>
    <w:rsid w:val="00F32980"/>
    <w:rsid w:val="00F56CE6"/>
    <w:rsid w:val="00F64260"/>
    <w:rsid w:val="00F871BA"/>
    <w:rsid w:val="00FA6359"/>
    <w:rsid w:val="00FA6998"/>
    <w:rsid w:val="00FA72E0"/>
    <w:rsid w:val="00FA769F"/>
    <w:rsid w:val="00FA78CA"/>
    <w:rsid w:val="00FC56D1"/>
    <w:rsid w:val="00FF3E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EC80B083-9685-41D8-BEB2-450EAF7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WP9Hyperlin">
    <w:name w:val="WP9_Hyperlin"/>
    <w:rsid w:val="00A80F49"/>
    <w:rPr>
      <w:color w:val="0000FF"/>
      <w:u w:val="single"/>
    </w:rPr>
  </w:style>
  <w:style w:type="character" w:customStyle="1" w:styleId="authors">
    <w:name w:val="authors"/>
    <w:basedOn w:val="DefaultParagraphFont"/>
    <w:rsid w:val="00A80F49"/>
  </w:style>
  <w:style w:type="character" w:customStyle="1" w:styleId="Date1">
    <w:name w:val="Date1"/>
    <w:basedOn w:val="DefaultParagraphFont"/>
    <w:rsid w:val="00A80F49"/>
  </w:style>
  <w:style w:type="character" w:customStyle="1" w:styleId="arttitle">
    <w:name w:val="art_title"/>
    <w:basedOn w:val="DefaultParagraphFont"/>
    <w:rsid w:val="00A80F49"/>
  </w:style>
  <w:style w:type="character" w:customStyle="1" w:styleId="serialtitle">
    <w:name w:val="serial_title"/>
    <w:basedOn w:val="DefaultParagraphFont"/>
    <w:rsid w:val="00A80F49"/>
  </w:style>
  <w:style w:type="character" w:customStyle="1" w:styleId="volumeissue">
    <w:name w:val="volume_issue"/>
    <w:basedOn w:val="DefaultParagraphFont"/>
    <w:rsid w:val="00A80F49"/>
  </w:style>
  <w:style w:type="character" w:customStyle="1" w:styleId="pagerange">
    <w:name w:val="page_range"/>
    <w:basedOn w:val="DefaultParagraphFont"/>
    <w:rsid w:val="00A80F49"/>
  </w:style>
  <w:style w:type="character" w:customStyle="1" w:styleId="Date2">
    <w:name w:val="Date2"/>
    <w:basedOn w:val="DefaultParagraphFont"/>
    <w:rsid w:val="00A80F49"/>
  </w:style>
  <w:style w:type="character" w:customStyle="1" w:styleId="Title1">
    <w:name w:val="Title1"/>
    <w:basedOn w:val="DefaultParagraphFont"/>
    <w:rsid w:val="00A8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67Z3ZXSPZZWZ-954-217</_dlc_DocId>
    <_dlc_DocIdUrl xmlns="67887a43-7e4d-4c1c-91d7-15e417b1b8ab">
      <Url>https://w3.ric.edu/graduate_committee/_layouts/15/DocIdRedir.aspx?ID=67Z3ZXSPZZWZ-954-217</Url>
      <Description>67Z3ZXSPZZWZ-954-217</Description>
    </_dlc_DocIdUrl>
  </documentManagement>
</p:properties>
</file>

<file path=customXml/itemProps1.xml><?xml version="1.0" encoding="utf-8"?>
<ds:datastoreItem xmlns:ds="http://schemas.openxmlformats.org/officeDocument/2006/customXml" ds:itemID="{F84A975B-DBA4-43C4-8CD5-A77B3A88AAC1}"/>
</file>

<file path=customXml/itemProps2.xml><?xml version="1.0" encoding="utf-8"?>
<ds:datastoreItem xmlns:ds="http://schemas.openxmlformats.org/officeDocument/2006/customXml" ds:itemID="{804AB2B8-E72D-4BDD-ACD7-512263F8B4C2}"/>
</file>

<file path=customXml/itemProps3.xml><?xml version="1.0" encoding="utf-8"?>
<ds:datastoreItem xmlns:ds="http://schemas.openxmlformats.org/officeDocument/2006/customXml" ds:itemID="{6B8DCB05-A4C4-4143-8B9C-38CA2104768D}"/>
</file>

<file path=customXml/itemProps4.xml><?xml version="1.0" encoding="utf-8"?>
<ds:datastoreItem xmlns:ds="http://schemas.openxmlformats.org/officeDocument/2006/customXml" ds:itemID="{724807DE-F032-407B-BFC6-BC542F86C721}"/>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Nimmagadda, Jayashree</cp:lastModifiedBy>
  <cp:revision>3</cp:revision>
  <cp:lastPrinted>2020-02-13T18:30:00Z</cp:lastPrinted>
  <dcterms:created xsi:type="dcterms:W3CDTF">2020-02-15T21:12:00Z</dcterms:created>
  <dcterms:modified xsi:type="dcterms:W3CDTF">2020-02-15T21:19:00Z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6d7793de-0a25-43b2-b59b-6be3a389881a</vt:lpwstr>
  </property>
</Properties>
</file>