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BA85" w14:textId="6143FD66" w:rsidR="00F64260" w:rsidRDefault="002B24F6" w:rsidP="00DF4FCD">
      <w:pPr>
        <w:pStyle w:val="Heading1"/>
      </w:pPr>
      <w:bookmarkStart w:id="0" w:name="_GoBack"/>
      <w:bookmarkEnd w:id="0"/>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383584FE" w:rsidR="00F64260" w:rsidRPr="00A83A6C" w:rsidRDefault="00CC7EEE" w:rsidP="00B862BF">
            <w:pPr>
              <w:pStyle w:val="Heading5"/>
              <w:rPr>
                <w:b/>
              </w:rPr>
            </w:pPr>
            <w:bookmarkStart w:id="1" w:name="Proposal"/>
            <w:bookmarkEnd w:id="1"/>
            <w:r w:rsidRPr="00361C61">
              <w:rPr>
                <w:b/>
              </w:rPr>
              <w:t>SW</w:t>
            </w:r>
            <w:r w:rsidR="00361C61" w:rsidRPr="00361C61">
              <w:rPr>
                <w:b/>
              </w:rPr>
              <w:t>RK</w:t>
            </w:r>
            <w:r w:rsidRPr="00361C61">
              <w:rPr>
                <w:b/>
              </w:rPr>
              <w:t xml:space="preserve"> </w:t>
            </w:r>
            <w:proofErr w:type="gramStart"/>
            <w:r w:rsidR="00361C61" w:rsidRPr="00361C61">
              <w:rPr>
                <w:b/>
              </w:rPr>
              <w:t>655</w:t>
            </w:r>
            <w:r w:rsidRPr="00361C61">
              <w:rPr>
                <w:b/>
              </w:rPr>
              <w:t>:</w:t>
            </w:r>
            <w:r w:rsidR="001B475E">
              <w:rPr>
                <w:b/>
              </w:rPr>
              <w:t>`</w:t>
            </w:r>
            <w:proofErr w:type="gramEnd"/>
            <w:r w:rsidR="00E94DA5">
              <w:rPr>
                <w:b/>
              </w:rPr>
              <w:t xml:space="preserve"> </w:t>
            </w:r>
            <w:r>
              <w:rPr>
                <w:b/>
              </w:rPr>
              <w:t>mental health and substance use disorder</w:t>
            </w:r>
            <w:r w:rsidR="00F40D31">
              <w:rPr>
                <w:b/>
              </w:rPr>
              <w:t>S</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B5570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4" w:name="Ifapplicable"/>
            <w:bookmarkEnd w:id="4"/>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6FCB16BD" w:rsidR="009357E5" w:rsidRPr="00F113DB" w:rsidRDefault="00F64260" w:rsidP="009357E5">
            <w:pPr>
              <w:rPr>
                <w:b/>
                <w:color w:val="0000FF"/>
                <w:u w:val="single"/>
              </w:rPr>
            </w:pPr>
            <w:bookmarkStart w:id="5" w:name="type"/>
            <w:r w:rsidRPr="005F2A05">
              <w:rPr>
                <w:b/>
              </w:rPr>
              <w:t xml:space="preserve">Course: </w:t>
            </w:r>
            <w:r>
              <w:rPr>
                <w:b/>
              </w:rPr>
              <w:t xml:space="preserve"> </w:t>
            </w:r>
            <w:r w:rsidRPr="005F2A05">
              <w:rPr>
                <w:b/>
              </w:rPr>
              <w:t>creation</w:t>
            </w:r>
            <w:bookmarkEnd w:id="5"/>
            <w:r w:rsidRPr="005F2A05">
              <w:rPr>
                <w:b/>
              </w:rPr>
              <w:t xml:space="preserve"> </w:t>
            </w:r>
          </w:p>
          <w:p w14:paraId="162BF641" w14:textId="67D6AA37" w:rsidR="00F113DB" w:rsidRPr="00F113DB" w:rsidRDefault="00F113DB" w:rsidP="000A36CD">
            <w:pPr>
              <w:rPr>
                <w:b/>
                <w:color w:val="0000FF"/>
                <w:u w:val="single"/>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438FA79A" w14:textId="77777777" w:rsidR="00F64260" w:rsidRDefault="00084B15" w:rsidP="00B862BF">
            <w:pPr>
              <w:rPr>
                <w:b/>
              </w:rPr>
            </w:pPr>
            <w:bookmarkStart w:id="6" w:name="Originator"/>
            <w:bookmarkEnd w:id="6"/>
            <w:r>
              <w:rPr>
                <w:b/>
              </w:rPr>
              <w:t>Aswood Bousseau</w:t>
            </w:r>
          </w:p>
          <w:p w14:paraId="395B7DBB" w14:textId="77777777" w:rsidR="00084B15" w:rsidRDefault="00084B15" w:rsidP="00B862BF">
            <w:pPr>
              <w:rPr>
                <w:b/>
              </w:rPr>
            </w:pPr>
            <w:r>
              <w:rPr>
                <w:b/>
              </w:rPr>
              <w:t>Warren Miller</w:t>
            </w:r>
          </w:p>
          <w:p w14:paraId="109F9B7A" w14:textId="471474A7" w:rsidR="00084B15" w:rsidRPr="00B605CE" w:rsidRDefault="00084B15" w:rsidP="00B862BF">
            <w:pPr>
              <w:rPr>
                <w:b/>
              </w:rPr>
            </w:pPr>
            <w:r>
              <w:rPr>
                <w:b/>
              </w:rPr>
              <w:t>Jayashree Nimmagadda</w:t>
            </w:r>
          </w:p>
        </w:tc>
        <w:tc>
          <w:tcPr>
            <w:tcW w:w="1210" w:type="pct"/>
            <w:gridSpan w:val="2"/>
          </w:tcPr>
          <w:p w14:paraId="561C556F" w14:textId="77777777" w:rsidR="00F64260" w:rsidRPr="00946B20" w:rsidRDefault="00B5570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33AD00D2" w:rsidR="00F64260" w:rsidRPr="00B605CE" w:rsidRDefault="00084B15" w:rsidP="00B862BF">
            <w:pPr>
              <w:rPr>
                <w:b/>
              </w:rPr>
            </w:pPr>
            <w:bookmarkStart w:id="7" w:name="home_dept"/>
            <w:bookmarkEnd w:id="7"/>
            <w:r>
              <w:rPr>
                <w:b/>
              </w:rPr>
              <w:t>Social Work</w:t>
            </w:r>
            <w:r w:rsidR="00F113DB">
              <w:rPr>
                <w:b/>
              </w:rPr>
              <w:t>,</w:t>
            </w:r>
            <w:r w:rsidR="00F113DB">
              <w:t xml:space="preserve"> </w:t>
            </w:r>
            <w:r w:rsidR="00F113DB" w:rsidRPr="00F113DB">
              <w:rPr>
                <w:b/>
                <w:bCs/>
              </w:rPr>
              <w:t>MSW program</w:t>
            </w:r>
          </w:p>
        </w:tc>
      </w:tr>
      <w:tr w:rsidR="00F64260" w:rsidRPr="006E3AF2" w14:paraId="32A3543C" w14:textId="77777777" w:rsidTr="000357A5">
        <w:tc>
          <w:tcPr>
            <w:tcW w:w="1111" w:type="pct"/>
            <w:vAlign w:val="center"/>
          </w:tcPr>
          <w:p w14:paraId="29A28E61" w14:textId="4673D8E8" w:rsidR="00F64260" w:rsidRPr="00B649C4" w:rsidRDefault="00F64260" w:rsidP="00010085">
            <w:bookmarkStart w:id="8" w:name="_Hlk30577020"/>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6EC22D24" w14:textId="77777777" w:rsidR="009357E5" w:rsidRDefault="009357E5" w:rsidP="009357E5">
            <w:pPr>
              <w:spacing w:line="240" w:lineRule="auto"/>
              <w:rPr>
                <w:b/>
              </w:rPr>
            </w:pPr>
            <w:bookmarkStart w:id="9" w:name="Rationale"/>
            <w:bookmarkEnd w:id="9"/>
          </w:p>
          <w:p w14:paraId="6F118DB8" w14:textId="77777777" w:rsidR="00A367CE" w:rsidRDefault="009357E5" w:rsidP="009357E5">
            <w:pPr>
              <w:spacing w:line="240" w:lineRule="auto"/>
              <w:rPr>
                <w:rFonts w:asciiTheme="minorHAnsi" w:hAnsiTheme="minorHAnsi"/>
                <w:bCs/>
                <w:sz w:val="24"/>
                <w:szCs w:val="24"/>
              </w:rPr>
            </w:pPr>
            <w:r w:rsidRPr="00A367CE">
              <w:rPr>
                <w:rFonts w:asciiTheme="minorHAnsi" w:hAnsiTheme="minorHAnsi"/>
                <w:bCs/>
                <w:sz w:val="24"/>
                <w:szCs w:val="24"/>
              </w:rPr>
              <w:t>The purpose of this proposal is to seek approval for a new course that will be offered as an elective to all MSW advanced clinical students</w:t>
            </w:r>
            <w:r w:rsidR="00361C61" w:rsidRPr="00A367CE">
              <w:rPr>
                <w:rFonts w:asciiTheme="minorHAnsi" w:hAnsiTheme="minorHAnsi"/>
                <w:bCs/>
                <w:sz w:val="24"/>
                <w:szCs w:val="24"/>
              </w:rPr>
              <w:t xml:space="preserve">.  </w:t>
            </w:r>
          </w:p>
          <w:p w14:paraId="57CFE486" w14:textId="77777777" w:rsidR="00A367CE" w:rsidRDefault="00A367CE" w:rsidP="009357E5">
            <w:pPr>
              <w:spacing w:line="240" w:lineRule="auto"/>
              <w:rPr>
                <w:rFonts w:asciiTheme="minorHAnsi" w:hAnsiTheme="minorHAnsi"/>
                <w:bCs/>
                <w:sz w:val="24"/>
                <w:szCs w:val="24"/>
              </w:rPr>
            </w:pPr>
          </w:p>
          <w:p w14:paraId="444B6354" w14:textId="43537EFB" w:rsidR="00A367CE" w:rsidRPr="00A367CE" w:rsidRDefault="00361C61" w:rsidP="009357E5">
            <w:pPr>
              <w:spacing w:line="240" w:lineRule="auto"/>
              <w:rPr>
                <w:rFonts w:asciiTheme="minorHAnsi" w:hAnsiTheme="minorHAnsi"/>
                <w:bCs/>
                <w:sz w:val="24"/>
                <w:szCs w:val="24"/>
              </w:rPr>
            </w:pPr>
            <w:r w:rsidRPr="00A367CE">
              <w:rPr>
                <w:rFonts w:asciiTheme="minorHAnsi" w:hAnsiTheme="minorHAnsi"/>
                <w:bCs/>
                <w:sz w:val="24"/>
                <w:szCs w:val="24"/>
              </w:rPr>
              <w:t xml:space="preserve">The National Survey on Drug Use and Health (NSUDH), in 2015, ranked RI as the second highest state in the nation for dependence on drugs </w:t>
            </w:r>
            <w:r w:rsidRPr="00A367CE">
              <w:rPr>
                <w:rFonts w:asciiTheme="minorHAnsi" w:hAnsiTheme="minorHAnsi"/>
                <w:bCs/>
                <w:noProof/>
                <w:sz w:val="24"/>
                <w:szCs w:val="24"/>
              </w:rPr>
              <w:t>and/or</w:t>
            </w:r>
            <w:r w:rsidRPr="00A367CE">
              <w:rPr>
                <w:rFonts w:asciiTheme="minorHAnsi" w:hAnsiTheme="minorHAnsi"/>
                <w:bCs/>
                <w:sz w:val="24"/>
                <w:szCs w:val="24"/>
              </w:rPr>
              <w:t xml:space="preserve"> alcohol among adults.  With over 64,000 drug overdose deaths in 2016, the United States is, unfortunately, a leader in the world for opioid consumption and overdose (International Narcotics Control Board, 2017). This epidemic has disproportionately affected the Rust Belt and New England (National Institute on Drug Abuse, 2018), and it appears that this has been due in large part to the number of opioids prescribed by doctors in these areas. RI, as part of New England, has stood out as a state affected strongly by this crisis (RI-OPITF, 2015). The National Center for </w:t>
            </w:r>
            <w:r w:rsidR="00A367CE" w:rsidRPr="00A367CE">
              <w:rPr>
                <w:rFonts w:asciiTheme="minorHAnsi" w:hAnsiTheme="minorHAnsi"/>
                <w:bCs/>
                <w:sz w:val="24"/>
                <w:szCs w:val="24"/>
              </w:rPr>
              <w:t xml:space="preserve">Health Workforce Analysis (HRSA, 2017) projects that by 2025 </w:t>
            </w:r>
            <w:r w:rsidR="00A367CE">
              <w:rPr>
                <w:rFonts w:asciiTheme="minorHAnsi" w:hAnsiTheme="minorHAnsi"/>
                <w:bCs/>
                <w:sz w:val="24"/>
                <w:szCs w:val="24"/>
              </w:rPr>
              <w:t>m</w:t>
            </w:r>
            <w:r w:rsidR="00A367CE" w:rsidRPr="00A367CE">
              <w:rPr>
                <w:rFonts w:asciiTheme="minorHAnsi" w:hAnsiTheme="minorHAnsi"/>
                <w:bCs/>
                <w:sz w:val="24"/>
                <w:szCs w:val="24"/>
              </w:rPr>
              <w:t xml:space="preserve">ental health and substance abuse social workers will have shortages of more than 48,000 FTEs. </w:t>
            </w:r>
          </w:p>
          <w:p w14:paraId="5CF82E79" w14:textId="77777777" w:rsidR="00A367CE" w:rsidRPr="00A367CE" w:rsidRDefault="00A367CE" w:rsidP="009357E5">
            <w:pPr>
              <w:spacing w:line="240" w:lineRule="auto"/>
              <w:rPr>
                <w:rFonts w:asciiTheme="minorHAnsi" w:hAnsiTheme="minorHAnsi"/>
                <w:bCs/>
                <w:sz w:val="24"/>
                <w:szCs w:val="24"/>
              </w:rPr>
            </w:pPr>
          </w:p>
          <w:p w14:paraId="7BC38ACE" w14:textId="77777777" w:rsidR="00A367CE" w:rsidRDefault="009357E5" w:rsidP="009357E5">
            <w:pPr>
              <w:spacing w:line="240" w:lineRule="auto"/>
              <w:rPr>
                <w:rFonts w:asciiTheme="minorHAnsi" w:hAnsiTheme="minorHAnsi"/>
                <w:bCs/>
                <w:sz w:val="24"/>
                <w:szCs w:val="24"/>
              </w:rPr>
            </w:pPr>
            <w:r w:rsidRPr="00A367CE">
              <w:rPr>
                <w:rFonts w:asciiTheme="minorHAnsi" w:hAnsiTheme="minorHAnsi"/>
                <w:bCs/>
                <w:sz w:val="24"/>
                <w:szCs w:val="24"/>
              </w:rPr>
              <w:t xml:space="preserve">This course examines the history, current understanding, assessment and treatment of problematic substance use.  Students will identify and apply recovery-oriented best practice principles of integrated treatment for individuals with co-occurring disorders to psychopharmacologic practice, as well as to other practice settings. </w:t>
            </w:r>
          </w:p>
          <w:p w14:paraId="7E02DD0C" w14:textId="77777777" w:rsidR="00A367CE" w:rsidRDefault="00A367CE" w:rsidP="009357E5">
            <w:pPr>
              <w:spacing w:line="240" w:lineRule="auto"/>
              <w:rPr>
                <w:rFonts w:asciiTheme="minorHAnsi" w:hAnsiTheme="minorHAnsi"/>
                <w:bCs/>
                <w:sz w:val="24"/>
                <w:szCs w:val="24"/>
              </w:rPr>
            </w:pPr>
          </w:p>
          <w:p w14:paraId="2A4AB36B" w14:textId="5506A0C5" w:rsidR="009357E5" w:rsidRPr="00A367CE" w:rsidRDefault="009357E5" w:rsidP="009357E5">
            <w:pPr>
              <w:spacing w:line="240" w:lineRule="auto"/>
              <w:rPr>
                <w:rFonts w:asciiTheme="minorHAnsi" w:hAnsiTheme="minorHAnsi"/>
                <w:bCs/>
                <w:sz w:val="24"/>
                <w:szCs w:val="24"/>
              </w:rPr>
            </w:pPr>
            <w:r w:rsidRPr="00A367CE">
              <w:rPr>
                <w:rFonts w:asciiTheme="minorHAnsi" w:hAnsiTheme="minorHAnsi"/>
                <w:bCs/>
                <w:sz w:val="24"/>
                <w:szCs w:val="24"/>
              </w:rPr>
              <w:t xml:space="preserve">The MSW program received a federal grant from Health Resource and Services Administration (HRSA) in </w:t>
            </w:r>
            <w:r w:rsidR="00AB074E">
              <w:rPr>
                <w:rFonts w:asciiTheme="minorHAnsi" w:hAnsiTheme="minorHAnsi"/>
                <w:bCs/>
                <w:sz w:val="24"/>
                <w:szCs w:val="24"/>
              </w:rPr>
              <w:t xml:space="preserve">October </w:t>
            </w:r>
            <w:r w:rsidRPr="00A367CE">
              <w:rPr>
                <w:rFonts w:asciiTheme="minorHAnsi" w:hAnsiTheme="minorHAnsi"/>
                <w:bCs/>
                <w:sz w:val="24"/>
                <w:szCs w:val="24"/>
              </w:rPr>
              <w:t xml:space="preserve">2019 to develop and provide this training. </w:t>
            </w:r>
          </w:p>
          <w:p w14:paraId="05EEBBB2" w14:textId="77777777" w:rsidR="00F64260" w:rsidRPr="00FA6998" w:rsidRDefault="00F64260" w:rsidP="00946B20">
            <w:pPr>
              <w:rPr>
                <w:b/>
              </w:rPr>
            </w:pPr>
          </w:p>
        </w:tc>
      </w:tr>
      <w:bookmarkEnd w:id="8"/>
      <w:tr w:rsidR="000B0565" w:rsidRPr="006E3AF2" w14:paraId="757552F8" w14:textId="77777777" w:rsidTr="000357A5">
        <w:tc>
          <w:tcPr>
            <w:tcW w:w="1111" w:type="pct"/>
            <w:vAlign w:val="center"/>
          </w:tcPr>
          <w:p w14:paraId="68C2CE3C" w14:textId="77777777" w:rsidR="000B0565" w:rsidRPr="00B649C4" w:rsidRDefault="000B0565" w:rsidP="00010085"/>
        </w:tc>
        <w:tc>
          <w:tcPr>
            <w:tcW w:w="3889" w:type="pct"/>
            <w:gridSpan w:val="6"/>
          </w:tcPr>
          <w:p w14:paraId="146EB07C" w14:textId="77777777" w:rsidR="000B0565" w:rsidRDefault="000B0565" w:rsidP="00FA6998">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744CF700" w14:textId="6820375D" w:rsidR="000357A5" w:rsidRDefault="00F113DB" w:rsidP="00B862BF">
            <w:pPr>
              <w:rPr>
                <w:b/>
              </w:rPr>
            </w:pPr>
            <w:r>
              <w:rPr>
                <w:b/>
              </w:rPr>
              <w:t xml:space="preserve">Students will </w:t>
            </w:r>
            <w:r w:rsidR="00157C9D">
              <w:rPr>
                <w:b/>
              </w:rPr>
              <w:t>have an opportunity to learn</w:t>
            </w:r>
            <w:r>
              <w:rPr>
                <w:b/>
              </w:rPr>
              <w:t xml:space="preserve"> knowledge and skills in an emerging area of practice</w:t>
            </w:r>
          </w:p>
          <w:p w14:paraId="29CC1F8A" w14:textId="1F900CEF" w:rsidR="00406318" w:rsidRPr="00B605CE" w:rsidRDefault="00406318" w:rsidP="00B862BF">
            <w:pPr>
              <w:rPr>
                <w:b/>
              </w:rPr>
            </w:pPr>
          </w:p>
        </w:tc>
      </w:tr>
      <w:tr w:rsidR="000357A5" w:rsidRPr="006E3AF2" w14:paraId="6C5E3AB5" w14:textId="77777777" w:rsidTr="000357A5">
        <w:trPr>
          <w:cantSplit/>
        </w:trPr>
        <w:tc>
          <w:tcPr>
            <w:tcW w:w="1111" w:type="pct"/>
            <w:vAlign w:val="center"/>
          </w:tcPr>
          <w:p w14:paraId="34020C66" w14:textId="7C57B29C" w:rsidR="000357A5" w:rsidRDefault="000357A5" w:rsidP="000357A5">
            <w:r>
              <w:lastRenderedPageBreak/>
              <w:t xml:space="preserve">A.6. </w:t>
            </w:r>
            <w:r w:rsidRPr="000357A5">
              <w:t>Impact on other programs</w:t>
            </w:r>
          </w:p>
        </w:tc>
        <w:tc>
          <w:tcPr>
            <w:tcW w:w="3889" w:type="pct"/>
            <w:gridSpan w:val="6"/>
          </w:tcPr>
          <w:p w14:paraId="4DA2748E" w14:textId="01128FC6" w:rsidR="000357A5" w:rsidRPr="00B605CE" w:rsidRDefault="00157C9D" w:rsidP="00B862BF">
            <w:pPr>
              <w:rPr>
                <w:b/>
              </w:rPr>
            </w:pPr>
            <w:r>
              <w:rPr>
                <w:b/>
              </w:rPr>
              <w:t>N</w:t>
            </w:r>
            <w:r w:rsidR="009357E5">
              <w:rPr>
                <w:b/>
              </w:rPr>
              <w:t>one</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451934FF" w:rsidR="00B07266" w:rsidRPr="00C25F9D" w:rsidRDefault="00F113DB" w:rsidP="00C25F9D">
            <w:pPr>
              <w:rPr>
                <w:b/>
              </w:rPr>
            </w:pPr>
            <w:bookmarkStart w:id="11" w:name="faculty"/>
            <w:bookmarkEnd w:id="11"/>
            <w:r>
              <w:rPr>
                <w:b/>
              </w:rPr>
              <w:t>None</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B55707"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6F7FE55F" w:rsidR="00B07266" w:rsidRPr="00C25F9D" w:rsidRDefault="00F113DB" w:rsidP="00C25F9D">
            <w:pPr>
              <w:rPr>
                <w:b/>
              </w:rPr>
            </w:pPr>
            <w:bookmarkStart w:id="12" w:name="library"/>
            <w:bookmarkEnd w:id="12"/>
            <w:r>
              <w:rPr>
                <w:b/>
              </w:rPr>
              <w:t>None</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B55707"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188F71D6" w:rsidR="00B07266" w:rsidRPr="00C25F9D" w:rsidRDefault="00F113DB" w:rsidP="00C25F9D">
            <w:pPr>
              <w:rPr>
                <w:b/>
              </w:rPr>
            </w:pPr>
            <w:bookmarkStart w:id="13" w:name="technology"/>
            <w:bookmarkEnd w:id="13"/>
            <w:r>
              <w:rPr>
                <w:b/>
              </w:rPr>
              <w:t>None</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B55707"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520EF030" w:rsidR="00B07266" w:rsidRPr="00C25F9D" w:rsidRDefault="00F113DB" w:rsidP="00C25F9D">
            <w:pPr>
              <w:rPr>
                <w:b/>
              </w:rPr>
            </w:pPr>
            <w:bookmarkStart w:id="14" w:name="facilities"/>
            <w:bookmarkEnd w:id="14"/>
            <w:r>
              <w:rPr>
                <w:b/>
              </w:rPr>
              <w:t>None</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22214C4A" w:rsidR="00B07266" w:rsidRPr="00C25F9D" w:rsidRDefault="00F113DB" w:rsidP="00C25F9D">
            <w:pPr>
              <w:rPr>
                <w:b/>
              </w:rPr>
            </w:pPr>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627CC16D" w:rsidR="000357A5" w:rsidRPr="00B649C4" w:rsidRDefault="00F113DB" w:rsidP="00C25F9D">
            <w:pPr>
              <w:rPr>
                <w:b/>
              </w:rPr>
            </w:pPr>
            <w:bookmarkStart w:id="15" w:name="prog_impact"/>
            <w:bookmarkEnd w:id="15"/>
            <w:r>
              <w:rPr>
                <w:b/>
              </w:rPr>
              <w:t>Summer 2020</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645FFD3" w:rsidR="000357A5" w:rsidRPr="00157C9D" w:rsidRDefault="00157C9D" w:rsidP="00C25F9D">
            <w:pPr>
              <w:rPr>
                <w:b/>
              </w:rPr>
            </w:pPr>
            <w:bookmarkStart w:id="16" w:name="_Hlk30577197"/>
            <w:r>
              <w:rPr>
                <w:b/>
              </w:rPr>
              <w:t>Since this activity is grant funded, we will need to offer the course this coming summer.</w:t>
            </w:r>
            <w:bookmarkEnd w:id="16"/>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050"/>
        <w:gridCol w:w="2790"/>
        <w:gridCol w:w="4940"/>
      </w:tblGrid>
      <w:tr w:rsidR="00F64260" w:rsidRPr="006E3AF2" w14:paraId="3273EA00" w14:textId="77777777" w:rsidTr="009357E5">
        <w:trPr>
          <w:tblHeader/>
        </w:trPr>
        <w:tc>
          <w:tcPr>
            <w:tcW w:w="3050"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2790"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4940"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rsidTr="009357E5">
        <w:tc>
          <w:tcPr>
            <w:tcW w:w="3050"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2790" w:type="dxa"/>
            <w:noWrap/>
          </w:tcPr>
          <w:p w14:paraId="19F8A524" w14:textId="77777777" w:rsidR="00F64260" w:rsidRPr="009F029C" w:rsidRDefault="00F64260" w:rsidP="001429AA">
            <w:pPr>
              <w:spacing w:line="240" w:lineRule="auto"/>
              <w:rPr>
                <w:b/>
              </w:rPr>
            </w:pPr>
            <w:bookmarkStart w:id="17" w:name="cours_title"/>
            <w:bookmarkEnd w:id="17"/>
          </w:p>
        </w:tc>
        <w:tc>
          <w:tcPr>
            <w:tcW w:w="4940" w:type="dxa"/>
            <w:noWrap/>
          </w:tcPr>
          <w:p w14:paraId="72E4032F" w14:textId="127E7C34" w:rsidR="00F64260" w:rsidRPr="009F029C" w:rsidRDefault="00157C9D" w:rsidP="001429AA">
            <w:pPr>
              <w:spacing w:line="240" w:lineRule="auto"/>
              <w:rPr>
                <w:b/>
              </w:rPr>
            </w:pPr>
            <w:r w:rsidRPr="00AB074E">
              <w:rPr>
                <w:b/>
              </w:rPr>
              <w:t xml:space="preserve">SWRK </w:t>
            </w:r>
            <w:r w:rsidR="00AB074E">
              <w:rPr>
                <w:b/>
              </w:rPr>
              <w:t>655</w:t>
            </w:r>
          </w:p>
        </w:tc>
      </w:tr>
      <w:tr w:rsidR="00F64260" w:rsidRPr="006E3AF2" w14:paraId="37592E9F" w14:textId="77777777" w:rsidTr="009357E5">
        <w:tc>
          <w:tcPr>
            <w:tcW w:w="3050"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2790" w:type="dxa"/>
            <w:noWrap/>
          </w:tcPr>
          <w:p w14:paraId="2BCE9A03" w14:textId="77777777" w:rsidR="00F64260" w:rsidRPr="009F029C" w:rsidRDefault="00F64260" w:rsidP="001429AA">
            <w:pPr>
              <w:spacing w:line="240" w:lineRule="auto"/>
              <w:rPr>
                <w:b/>
              </w:rPr>
            </w:pPr>
          </w:p>
        </w:tc>
        <w:tc>
          <w:tcPr>
            <w:tcW w:w="4940" w:type="dxa"/>
            <w:noWrap/>
          </w:tcPr>
          <w:p w14:paraId="2FF72528" w14:textId="77777777" w:rsidR="00F64260" w:rsidRPr="009F029C" w:rsidRDefault="00F64260" w:rsidP="001429AA">
            <w:pPr>
              <w:spacing w:line="240" w:lineRule="auto"/>
              <w:rPr>
                <w:b/>
              </w:rPr>
            </w:pPr>
          </w:p>
        </w:tc>
      </w:tr>
      <w:tr w:rsidR="00F64260" w:rsidRPr="006E3AF2" w14:paraId="41D21786" w14:textId="77777777" w:rsidTr="009357E5">
        <w:tc>
          <w:tcPr>
            <w:tcW w:w="3050"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2790" w:type="dxa"/>
            <w:noWrap/>
          </w:tcPr>
          <w:p w14:paraId="06C9A080" w14:textId="77777777" w:rsidR="00F64260" w:rsidRPr="009F029C" w:rsidRDefault="00F64260" w:rsidP="001429AA">
            <w:pPr>
              <w:spacing w:line="240" w:lineRule="auto"/>
              <w:rPr>
                <w:b/>
              </w:rPr>
            </w:pPr>
            <w:bookmarkStart w:id="18" w:name="title"/>
            <w:bookmarkEnd w:id="18"/>
          </w:p>
        </w:tc>
        <w:tc>
          <w:tcPr>
            <w:tcW w:w="4940" w:type="dxa"/>
            <w:noWrap/>
          </w:tcPr>
          <w:p w14:paraId="5DC5C210" w14:textId="1596DAFC" w:rsidR="009357E5" w:rsidRPr="006F5664" w:rsidRDefault="009357E5" w:rsidP="009357E5">
            <w:pPr>
              <w:spacing w:line="240" w:lineRule="auto"/>
              <w:rPr>
                <w:b/>
              </w:rPr>
            </w:pPr>
          </w:p>
          <w:p w14:paraId="06B2C33F" w14:textId="79C66DCF" w:rsidR="009357E5" w:rsidRPr="006F5664" w:rsidRDefault="009357E5" w:rsidP="009357E5">
            <w:pPr>
              <w:spacing w:line="240" w:lineRule="auto"/>
              <w:rPr>
                <w:b/>
              </w:rPr>
            </w:pPr>
            <w:r w:rsidRPr="006F5664">
              <w:rPr>
                <w:b/>
              </w:rPr>
              <w:t>Mental Health and Substance Use Disorders</w:t>
            </w:r>
          </w:p>
          <w:p w14:paraId="001F0A12" w14:textId="7B328FDB" w:rsidR="00F64260" w:rsidRPr="00BF1A78" w:rsidRDefault="00F64260" w:rsidP="001429AA">
            <w:pPr>
              <w:spacing w:line="240" w:lineRule="auto"/>
              <w:rPr>
                <w:rFonts w:asciiTheme="minorHAnsi" w:hAnsiTheme="minorHAnsi"/>
                <w:b/>
              </w:rPr>
            </w:pPr>
          </w:p>
        </w:tc>
      </w:tr>
      <w:tr w:rsidR="00F64260" w:rsidRPr="006E3AF2" w14:paraId="5164065A" w14:textId="77777777" w:rsidTr="009357E5">
        <w:tc>
          <w:tcPr>
            <w:tcW w:w="3050"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2790" w:type="dxa"/>
            <w:noWrap/>
          </w:tcPr>
          <w:p w14:paraId="4D9379C4" w14:textId="77777777" w:rsidR="00F64260" w:rsidRPr="009F029C" w:rsidRDefault="00F64260" w:rsidP="009F029C">
            <w:pPr>
              <w:tabs>
                <w:tab w:val="left" w:pos="690"/>
              </w:tabs>
              <w:spacing w:line="240" w:lineRule="auto"/>
              <w:rPr>
                <w:b/>
              </w:rPr>
            </w:pPr>
            <w:bookmarkStart w:id="19" w:name="description"/>
            <w:bookmarkEnd w:id="19"/>
          </w:p>
        </w:tc>
        <w:tc>
          <w:tcPr>
            <w:tcW w:w="4940" w:type="dxa"/>
            <w:noWrap/>
          </w:tcPr>
          <w:p w14:paraId="00D6F825" w14:textId="047A129D" w:rsidR="009357E5" w:rsidRPr="006F5664" w:rsidRDefault="009357E5" w:rsidP="009357E5">
            <w:bookmarkStart w:id="20" w:name="_Hlk30693277"/>
            <w:r w:rsidRPr="006F5664">
              <w:rPr>
                <w:b/>
                <w:bCs/>
              </w:rPr>
              <w:t xml:space="preserve">This course will provide tools </w:t>
            </w:r>
            <w:r w:rsidR="00992E1C">
              <w:rPr>
                <w:b/>
                <w:bCs/>
              </w:rPr>
              <w:t xml:space="preserve">and information </w:t>
            </w:r>
            <w:r w:rsidRPr="006F5664">
              <w:rPr>
                <w:b/>
                <w:bCs/>
              </w:rPr>
              <w:t xml:space="preserve">that enable students to </w:t>
            </w:r>
            <w:r w:rsidR="00AB074E">
              <w:rPr>
                <w:b/>
                <w:bCs/>
              </w:rPr>
              <w:t>apply</w:t>
            </w:r>
            <w:r w:rsidRPr="006F5664">
              <w:rPr>
                <w:b/>
                <w:bCs/>
              </w:rPr>
              <w:t xml:space="preserve"> principles of recovery-oriented care, strengths-based assessment, and medication to support the whole-person recovery of individuals with co-occurring disorders.  </w:t>
            </w:r>
          </w:p>
          <w:bookmarkEnd w:id="20"/>
          <w:p w14:paraId="2DB344D2" w14:textId="616F2B24" w:rsidR="00F64260" w:rsidRPr="00BF1A78" w:rsidRDefault="00F64260" w:rsidP="001429AA">
            <w:pPr>
              <w:spacing w:line="240" w:lineRule="auto"/>
              <w:rPr>
                <w:rFonts w:asciiTheme="minorHAnsi" w:hAnsiTheme="minorHAnsi"/>
                <w:b/>
                <w:bCs/>
              </w:rPr>
            </w:pPr>
          </w:p>
        </w:tc>
      </w:tr>
      <w:tr w:rsidR="00F64260" w:rsidRPr="006E3AF2" w14:paraId="51F71CBF" w14:textId="77777777" w:rsidTr="009357E5">
        <w:tc>
          <w:tcPr>
            <w:tcW w:w="3050" w:type="dxa"/>
            <w:noWrap/>
            <w:vAlign w:val="center"/>
          </w:tcPr>
          <w:p w14:paraId="05549147" w14:textId="77777777" w:rsidR="00F64260" w:rsidRPr="006E3AF2" w:rsidRDefault="003C1A54" w:rsidP="00013152">
            <w:pPr>
              <w:spacing w:line="240" w:lineRule="auto"/>
            </w:pPr>
            <w:bookmarkStart w:id="21" w:name="_Hlk30577375"/>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2790" w:type="dxa"/>
            <w:noWrap/>
          </w:tcPr>
          <w:p w14:paraId="1855F775" w14:textId="77777777" w:rsidR="00F64260" w:rsidRPr="009F029C" w:rsidRDefault="00F64260" w:rsidP="001429AA">
            <w:pPr>
              <w:spacing w:line="240" w:lineRule="auto"/>
              <w:rPr>
                <w:b/>
              </w:rPr>
            </w:pPr>
            <w:bookmarkStart w:id="22" w:name="prereqs"/>
            <w:bookmarkEnd w:id="22"/>
          </w:p>
        </w:tc>
        <w:tc>
          <w:tcPr>
            <w:tcW w:w="4940" w:type="dxa"/>
            <w:noWrap/>
          </w:tcPr>
          <w:p w14:paraId="189CC8D9" w14:textId="77777777" w:rsidR="009357E5" w:rsidRPr="006F5664" w:rsidRDefault="009357E5" w:rsidP="009357E5">
            <w:pPr>
              <w:spacing w:line="240" w:lineRule="auto"/>
              <w:rPr>
                <w:b/>
              </w:rPr>
            </w:pPr>
            <w:r w:rsidRPr="006F5664">
              <w:rPr>
                <w:b/>
              </w:rPr>
              <w:t xml:space="preserve">Second year standing in MSW program; </w:t>
            </w:r>
            <w:bookmarkStart w:id="23" w:name="_Hlk30693456"/>
            <w:r w:rsidRPr="006F5664">
              <w:rPr>
                <w:b/>
              </w:rPr>
              <w:t>Permission from MSW chair for non-MSW students</w:t>
            </w:r>
            <w:bookmarkEnd w:id="23"/>
          </w:p>
          <w:p w14:paraId="350312DB" w14:textId="55EA4D1A" w:rsidR="00F64260" w:rsidRPr="00BF1A78" w:rsidRDefault="00F64260" w:rsidP="001429AA">
            <w:pPr>
              <w:spacing w:line="240" w:lineRule="auto"/>
              <w:rPr>
                <w:rFonts w:asciiTheme="minorHAnsi" w:hAnsiTheme="minorHAnsi"/>
                <w:b/>
              </w:rPr>
            </w:pPr>
          </w:p>
        </w:tc>
      </w:tr>
      <w:bookmarkEnd w:id="21"/>
      <w:tr w:rsidR="00F64260" w:rsidRPr="006E3AF2" w14:paraId="18ED5FDA" w14:textId="77777777" w:rsidTr="009357E5">
        <w:tc>
          <w:tcPr>
            <w:tcW w:w="3050"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2790" w:type="dxa"/>
            <w:noWrap/>
          </w:tcPr>
          <w:p w14:paraId="6CAE2892" w14:textId="4CBCADFD" w:rsidR="00F64260" w:rsidRPr="009F029C" w:rsidRDefault="00F64260" w:rsidP="000A36CD">
            <w:pPr>
              <w:spacing w:line="240" w:lineRule="auto"/>
              <w:rPr>
                <w:b/>
                <w:sz w:val="20"/>
              </w:rPr>
            </w:pPr>
          </w:p>
        </w:tc>
        <w:tc>
          <w:tcPr>
            <w:tcW w:w="4940" w:type="dxa"/>
            <w:noWrap/>
          </w:tcPr>
          <w:p w14:paraId="6E8FAD04" w14:textId="6C235992" w:rsidR="00F64260" w:rsidRPr="009357E5" w:rsidRDefault="00F64260" w:rsidP="00C25F9D">
            <w:pPr>
              <w:spacing w:line="240" w:lineRule="auto"/>
              <w:rPr>
                <w:rFonts w:asciiTheme="minorHAnsi" w:eastAsia="MS Mincho" w:hAnsiTheme="minorHAnsi" w:cs="MS Mincho"/>
                <w:b/>
              </w:rPr>
            </w:pPr>
            <w:r w:rsidRPr="009357E5">
              <w:rPr>
                <w:rFonts w:asciiTheme="minorHAnsi" w:hAnsiTheme="minorHAnsi"/>
                <w:b/>
              </w:rPr>
              <w:t>Summer</w:t>
            </w:r>
          </w:p>
        </w:tc>
      </w:tr>
      <w:tr w:rsidR="00F64260" w:rsidRPr="006E3AF2" w14:paraId="6C9D583C" w14:textId="77777777" w:rsidTr="009357E5">
        <w:tc>
          <w:tcPr>
            <w:tcW w:w="3050"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2790" w:type="dxa"/>
            <w:noWrap/>
          </w:tcPr>
          <w:p w14:paraId="6A37C839" w14:textId="77777777" w:rsidR="00F64260" w:rsidRPr="009F029C" w:rsidRDefault="00F64260" w:rsidP="001429AA">
            <w:pPr>
              <w:spacing w:line="240" w:lineRule="auto"/>
              <w:rPr>
                <w:b/>
              </w:rPr>
            </w:pPr>
            <w:bookmarkStart w:id="24" w:name="contacthours"/>
            <w:bookmarkEnd w:id="24"/>
          </w:p>
        </w:tc>
        <w:tc>
          <w:tcPr>
            <w:tcW w:w="4940" w:type="dxa"/>
            <w:noWrap/>
          </w:tcPr>
          <w:p w14:paraId="790915FC" w14:textId="4326162D" w:rsidR="00F64260" w:rsidRPr="009357E5" w:rsidRDefault="00FF3E1C" w:rsidP="001429AA">
            <w:pPr>
              <w:spacing w:line="240" w:lineRule="auto"/>
              <w:rPr>
                <w:rFonts w:asciiTheme="minorHAnsi" w:hAnsiTheme="minorHAnsi"/>
                <w:b/>
              </w:rPr>
            </w:pPr>
            <w:r w:rsidRPr="009357E5">
              <w:rPr>
                <w:rFonts w:asciiTheme="minorHAnsi" w:hAnsiTheme="minorHAnsi"/>
                <w:b/>
              </w:rPr>
              <w:t>3</w:t>
            </w:r>
          </w:p>
        </w:tc>
      </w:tr>
      <w:tr w:rsidR="00F64260" w:rsidRPr="006E3AF2" w14:paraId="33B99A97" w14:textId="77777777" w:rsidTr="009357E5">
        <w:tc>
          <w:tcPr>
            <w:tcW w:w="3050"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2790" w:type="dxa"/>
            <w:noWrap/>
          </w:tcPr>
          <w:p w14:paraId="4C1B53F5" w14:textId="77777777" w:rsidR="00F64260" w:rsidRPr="009F029C" w:rsidRDefault="00F64260" w:rsidP="001429AA">
            <w:pPr>
              <w:spacing w:line="240" w:lineRule="auto"/>
              <w:rPr>
                <w:b/>
              </w:rPr>
            </w:pPr>
            <w:bookmarkStart w:id="25" w:name="credits"/>
            <w:bookmarkEnd w:id="25"/>
          </w:p>
        </w:tc>
        <w:tc>
          <w:tcPr>
            <w:tcW w:w="4940" w:type="dxa"/>
            <w:noWrap/>
          </w:tcPr>
          <w:p w14:paraId="4F70C16F" w14:textId="272D8EFF" w:rsidR="00F64260" w:rsidRPr="009357E5" w:rsidRDefault="00FF3E1C" w:rsidP="001429AA">
            <w:pPr>
              <w:spacing w:line="240" w:lineRule="auto"/>
              <w:rPr>
                <w:rFonts w:asciiTheme="minorHAnsi" w:hAnsiTheme="minorHAnsi"/>
                <w:b/>
              </w:rPr>
            </w:pPr>
            <w:r w:rsidRPr="009357E5">
              <w:rPr>
                <w:rFonts w:asciiTheme="minorHAnsi" w:hAnsiTheme="minorHAnsi"/>
                <w:b/>
              </w:rPr>
              <w:t>3</w:t>
            </w:r>
          </w:p>
        </w:tc>
      </w:tr>
      <w:tr w:rsidR="00F64260" w:rsidRPr="006E3AF2" w14:paraId="4CBDFD46" w14:textId="77777777" w:rsidTr="009357E5">
        <w:tc>
          <w:tcPr>
            <w:tcW w:w="3050"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730" w:type="dxa"/>
            <w:gridSpan w:val="2"/>
            <w:noWrap/>
          </w:tcPr>
          <w:p w14:paraId="4031ACC6" w14:textId="77777777" w:rsidR="00F64260" w:rsidRPr="009357E5" w:rsidRDefault="00F64260" w:rsidP="001429AA">
            <w:pPr>
              <w:spacing w:line="240" w:lineRule="auto"/>
              <w:rPr>
                <w:rStyle w:val="TEXT"/>
                <w:rFonts w:asciiTheme="minorHAnsi" w:hAnsiTheme="minorHAnsi"/>
                <w:sz w:val="22"/>
              </w:rPr>
            </w:pPr>
            <w:bookmarkStart w:id="26" w:name="differences"/>
            <w:bookmarkEnd w:id="26"/>
          </w:p>
        </w:tc>
      </w:tr>
      <w:tr w:rsidR="00F64260" w:rsidRPr="006E3AF2" w14:paraId="3F978964" w14:textId="77777777" w:rsidTr="009357E5">
        <w:tc>
          <w:tcPr>
            <w:tcW w:w="3050"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2790" w:type="dxa"/>
            <w:noWrap/>
          </w:tcPr>
          <w:p w14:paraId="30CC901C" w14:textId="7D6BA643" w:rsidR="00F64260" w:rsidRPr="009F029C" w:rsidRDefault="00F64260" w:rsidP="00B2320C">
            <w:pPr>
              <w:spacing w:line="240" w:lineRule="auto"/>
              <w:rPr>
                <w:b/>
                <w:sz w:val="20"/>
              </w:rPr>
            </w:pPr>
          </w:p>
        </w:tc>
        <w:tc>
          <w:tcPr>
            <w:tcW w:w="4940" w:type="dxa"/>
            <w:noWrap/>
          </w:tcPr>
          <w:p w14:paraId="32C16048" w14:textId="2875A41B" w:rsidR="00F64260" w:rsidRPr="009357E5" w:rsidRDefault="00482982" w:rsidP="000357A5">
            <w:pPr>
              <w:spacing w:line="240" w:lineRule="auto"/>
              <w:rPr>
                <w:rFonts w:asciiTheme="minorHAnsi" w:hAnsiTheme="minorHAnsi"/>
                <w:b/>
              </w:rPr>
            </w:pPr>
            <w:r w:rsidRPr="009357E5">
              <w:rPr>
                <w:rFonts w:asciiTheme="minorHAnsi" w:hAnsiTheme="minorHAnsi"/>
                <w:b/>
              </w:rPr>
              <w:t xml:space="preserve">Letter grade  </w:t>
            </w:r>
          </w:p>
        </w:tc>
      </w:tr>
      <w:tr w:rsidR="00F64260" w:rsidRPr="006E3AF2" w14:paraId="45BF3D73" w14:textId="77777777" w:rsidTr="009357E5">
        <w:tc>
          <w:tcPr>
            <w:tcW w:w="3050"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2790" w:type="dxa"/>
            <w:noWrap/>
          </w:tcPr>
          <w:p w14:paraId="1A4D3B38" w14:textId="25D65300" w:rsidR="00F64260" w:rsidRPr="009F029C" w:rsidRDefault="00F64260" w:rsidP="0027634D">
            <w:pPr>
              <w:spacing w:line="240" w:lineRule="auto"/>
              <w:rPr>
                <w:b/>
                <w:sz w:val="20"/>
              </w:rPr>
            </w:pPr>
            <w:bookmarkStart w:id="27" w:name="instr_methods"/>
            <w:bookmarkEnd w:id="27"/>
          </w:p>
        </w:tc>
        <w:tc>
          <w:tcPr>
            <w:tcW w:w="4940" w:type="dxa"/>
            <w:noWrap/>
          </w:tcPr>
          <w:p w14:paraId="27476ECE" w14:textId="537E1AC3" w:rsidR="00F64260" w:rsidRDefault="00F64260" w:rsidP="00A76B76">
            <w:pPr>
              <w:spacing w:line="240" w:lineRule="auto"/>
              <w:rPr>
                <w:rFonts w:asciiTheme="minorHAnsi" w:hAnsiTheme="minorHAnsi"/>
                <w:b/>
              </w:rPr>
            </w:pPr>
            <w:r w:rsidRPr="009357E5">
              <w:rPr>
                <w:rFonts w:asciiTheme="minorHAnsi" w:eastAsia="MS Mincho" w:hAnsiTheme="minorHAnsi" w:cs="MS Mincho"/>
                <w:b/>
              </w:rPr>
              <w:t xml:space="preserve">| </w:t>
            </w:r>
            <w:r w:rsidRPr="009357E5">
              <w:rPr>
                <w:rFonts w:asciiTheme="minorHAnsi" w:hAnsiTheme="minorHAnsi"/>
                <w:b/>
              </w:rPr>
              <w:t>Lecture</w:t>
            </w:r>
            <w:r w:rsidRPr="009357E5">
              <w:rPr>
                <w:rFonts w:asciiTheme="minorHAnsi" w:eastAsia="MS Mincho" w:hAnsiTheme="minorHAnsi" w:cs="MS Mincho"/>
                <w:b/>
              </w:rPr>
              <w:t xml:space="preserve">| </w:t>
            </w:r>
            <w:r w:rsidRPr="009357E5">
              <w:rPr>
                <w:rFonts w:asciiTheme="minorHAnsi" w:hAnsiTheme="minorHAnsi"/>
                <w:b/>
              </w:rPr>
              <w:t xml:space="preserve">Small group | </w:t>
            </w:r>
            <w:r w:rsidR="00661377">
              <w:rPr>
                <w:rFonts w:asciiTheme="minorHAnsi" w:hAnsiTheme="minorHAnsi"/>
                <w:b/>
              </w:rPr>
              <w:t>30</w:t>
            </w:r>
            <w:r w:rsidRPr="009357E5">
              <w:rPr>
                <w:rFonts w:asciiTheme="minorHAnsi" w:hAnsiTheme="minorHAnsi"/>
                <w:b/>
              </w:rPr>
              <w:t xml:space="preserve">   </w:t>
            </w:r>
            <w:hyperlink w:anchor="Online" w:tooltip="If selected, indicate the percentage of course time spent online" w:history="1">
              <w:r w:rsidRPr="009357E5">
                <w:rPr>
                  <w:rStyle w:val="Hyperlink"/>
                  <w:rFonts w:asciiTheme="minorHAnsi" w:hAnsiTheme="minorHAnsi"/>
                  <w:b/>
                </w:rPr>
                <w:t>% Online</w:t>
              </w:r>
            </w:hyperlink>
            <w:r w:rsidRPr="009357E5">
              <w:rPr>
                <w:rFonts w:asciiTheme="minorHAnsi" w:hAnsiTheme="minorHAnsi"/>
                <w:b/>
              </w:rPr>
              <w:t xml:space="preserve"> </w:t>
            </w:r>
          </w:p>
          <w:p w14:paraId="1FE5962F" w14:textId="3991BE89" w:rsidR="009357E5" w:rsidRPr="009357E5" w:rsidRDefault="009357E5" w:rsidP="00A76B76">
            <w:pPr>
              <w:spacing w:line="240" w:lineRule="auto"/>
              <w:rPr>
                <w:rFonts w:asciiTheme="minorHAnsi" w:hAnsiTheme="minorHAnsi"/>
                <w:b/>
              </w:rPr>
            </w:pPr>
          </w:p>
        </w:tc>
      </w:tr>
      <w:tr w:rsidR="00F64260" w:rsidRPr="006E3AF2" w14:paraId="627B913D" w14:textId="77777777" w:rsidTr="009357E5">
        <w:tc>
          <w:tcPr>
            <w:tcW w:w="3050"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2790" w:type="dxa"/>
            <w:noWrap/>
          </w:tcPr>
          <w:p w14:paraId="622F2744" w14:textId="2A3AE7D1" w:rsidR="00F64260" w:rsidRPr="009F029C" w:rsidRDefault="00F64260" w:rsidP="00B2320C">
            <w:pPr>
              <w:spacing w:line="240" w:lineRule="auto"/>
              <w:rPr>
                <w:b/>
                <w:sz w:val="20"/>
              </w:rPr>
            </w:pPr>
            <w:bookmarkStart w:id="28" w:name="required"/>
            <w:bookmarkEnd w:id="28"/>
          </w:p>
        </w:tc>
        <w:tc>
          <w:tcPr>
            <w:tcW w:w="4940" w:type="dxa"/>
            <w:noWrap/>
          </w:tcPr>
          <w:p w14:paraId="0FDCB05C" w14:textId="77777777" w:rsidR="00F64260" w:rsidRDefault="00F64260" w:rsidP="00B2320C">
            <w:pPr>
              <w:spacing w:line="240" w:lineRule="auto"/>
              <w:rPr>
                <w:rFonts w:asciiTheme="minorHAnsi" w:hAnsiTheme="minorHAnsi"/>
                <w:b/>
              </w:rPr>
            </w:pPr>
            <w:r w:rsidRPr="009357E5">
              <w:rPr>
                <w:rFonts w:asciiTheme="minorHAnsi" w:eastAsia="MS Mincho" w:hAnsiTheme="minorHAnsi" w:cs="MS Mincho"/>
                <w:b/>
              </w:rPr>
              <w:t>|</w:t>
            </w:r>
            <w:r w:rsidRPr="009357E5">
              <w:rPr>
                <w:rFonts w:asciiTheme="minorHAnsi" w:hAnsiTheme="minorHAnsi"/>
                <w:b/>
              </w:rPr>
              <w:t xml:space="preserve">Free elective </w:t>
            </w:r>
            <w:r w:rsidRPr="009357E5">
              <w:rPr>
                <w:rFonts w:asciiTheme="minorHAnsi" w:eastAsia="MS Mincho" w:hAnsiTheme="minorHAnsi" w:cs="MS Mincho"/>
                <w:b/>
              </w:rPr>
              <w:t>|</w:t>
            </w:r>
            <w:r w:rsidRPr="009357E5">
              <w:rPr>
                <w:rFonts w:asciiTheme="minorHAnsi" w:hAnsiTheme="minorHAnsi"/>
                <w:b/>
              </w:rPr>
              <w:t xml:space="preserve"> Required for Certification</w:t>
            </w:r>
          </w:p>
          <w:p w14:paraId="460254CA" w14:textId="4AC2023D" w:rsidR="004016AB" w:rsidRPr="009357E5" w:rsidRDefault="004016AB" w:rsidP="00B2320C">
            <w:pPr>
              <w:spacing w:line="240" w:lineRule="auto"/>
              <w:rPr>
                <w:rFonts w:asciiTheme="minorHAnsi" w:hAnsiTheme="minorHAnsi"/>
                <w:b/>
              </w:rPr>
            </w:pPr>
          </w:p>
        </w:tc>
      </w:tr>
      <w:tr w:rsidR="00F64260" w:rsidRPr="006E3AF2" w14:paraId="5D768306" w14:textId="77777777" w:rsidTr="009357E5">
        <w:tc>
          <w:tcPr>
            <w:tcW w:w="3050"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2790" w:type="dxa"/>
            <w:noWrap/>
          </w:tcPr>
          <w:p w14:paraId="5128E2F0" w14:textId="30DBF4F9" w:rsidR="00F64260" w:rsidRPr="009F029C" w:rsidRDefault="00F64260" w:rsidP="00C629CB">
            <w:pPr>
              <w:spacing w:line="240" w:lineRule="auto"/>
              <w:rPr>
                <w:b/>
                <w:sz w:val="20"/>
              </w:rPr>
            </w:pPr>
            <w:bookmarkStart w:id="29" w:name="performance"/>
            <w:bookmarkEnd w:id="29"/>
          </w:p>
        </w:tc>
        <w:tc>
          <w:tcPr>
            <w:tcW w:w="4940" w:type="dxa"/>
            <w:noWrap/>
          </w:tcPr>
          <w:p w14:paraId="79A5E0BD" w14:textId="3721CF13" w:rsidR="004016AB" w:rsidRDefault="00F64260" w:rsidP="00FA769F">
            <w:pPr>
              <w:spacing w:line="240" w:lineRule="auto"/>
              <w:rPr>
                <w:rFonts w:asciiTheme="minorHAnsi" w:eastAsia="MS Mincho" w:hAnsiTheme="minorHAnsi" w:cs="MS Mincho"/>
                <w:b/>
              </w:rPr>
            </w:pPr>
            <w:r w:rsidRPr="009357E5">
              <w:rPr>
                <w:rFonts w:asciiTheme="minorHAnsi" w:hAnsiTheme="minorHAnsi"/>
                <w:b/>
              </w:rPr>
              <w:t xml:space="preserve">Attendance </w:t>
            </w:r>
            <w:r w:rsidRPr="009357E5">
              <w:rPr>
                <w:rFonts w:asciiTheme="minorHAnsi" w:eastAsia="MS Mincho" w:hAnsiTheme="minorHAnsi" w:cs="MS Mincho"/>
                <w:b/>
              </w:rPr>
              <w:t xml:space="preserve">| </w:t>
            </w:r>
            <w:r w:rsidRPr="009357E5">
              <w:rPr>
                <w:rFonts w:asciiTheme="minorHAnsi" w:hAnsiTheme="minorHAnsi"/>
                <w:b/>
              </w:rPr>
              <w:t xml:space="preserve">Class participation </w:t>
            </w:r>
            <w:r w:rsidRPr="009357E5">
              <w:rPr>
                <w:rFonts w:asciiTheme="minorHAnsi" w:eastAsia="MS Mincho" w:hAnsiTheme="minorHAnsi" w:cs="MS Mincho"/>
                <w:b/>
              </w:rPr>
              <w:t>|</w:t>
            </w:r>
            <w:r w:rsidRPr="009357E5">
              <w:rPr>
                <w:rFonts w:asciiTheme="minorHAnsi" w:hAnsiTheme="minorHAnsi"/>
                <w:b/>
              </w:rPr>
              <w:t xml:space="preserve"> </w:t>
            </w:r>
            <w:r w:rsidR="00C629CB" w:rsidRPr="009357E5">
              <w:rPr>
                <w:rFonts w:asciiTheme="minorHAnsi" w:hAnsiTheme="minorHAnsi"/>
                <w:b/>
              </w:rPr>
              <w:t xml:space="preserve">Clinical work | </w:t>
            </w:r>
            <w:proofErr w:type="gramStart"/>
            <w:r w:rsidRPr="009357E5">
              <w:rPr>
                <w:rFonts w:asciiTheme="minorHAnsi" w:hAnsiTheme="minorHAnsi"/>
                <w:b/>
              </w:rPr>
              <w:t xml:space="preserve">Presentations  </w:t>
            </w:r>
            <w:r w:rsidRPr="009357E5">
              <w:rPr>
                <w:rFonts w:asciiTheme="minorHAnsi" w:eastAsia="MS Mincho" w:hAnsiTheme="minorHAnsi" w:cs="MS Mincho"/>
                <w:b/>
              </w:rPr>
              <w:t>|</w:t>
            </w:r>
            <w:proofErr w:type="gramEnd"/>
            <w:r w:rsidR="004016AB">
              <w:rPr>
                <w:rFonts w:asciiTheme="minorHAnsi" w:eastAsia="MS Mincho" w:hAnsiTheme="minorHAnsi" w:cs="MS Mincho"/>
                <w:b/>
              </w:rPr>
              <w:t xml:space="preserve"> </w:t>
            </w:r>
            <w:r w:rsidRPr="009357E5">
              <w:rPr>
                <w:rFonts w:asciiTheme="minorHAnsi" w:hAnsiTheme="minorHAnsi"/>
                <w:b/>
              </w:rPr>
              <w:t xml:space="preserve">Class Work  </w:t>
            </w:r>
            <w:r w:rsidRPr="009357E5">
              <w:rPr>
                <w:rFonts w:asciiTheme="minorHAnsi" w:eastAsia="MS Mincho" w:hAnsiTheme="minorHAnsi" w:cs="MS Mincho"/>
                <w:b/>
              </w:rPr>
              <w:t xml:space="preserve">| </w:t>
            </w:r>
            <w:r w:rsidRPr="009357E5">
              <w:rPr>
                <w:rFonts w:asciiTheme="minorHAnsi" w:hAnsiTheme="minorHAnsi"/>
                <w:b/>
              </w:rPr>
              <w:t xml:space="preserve">Interviews </w:t>
            </w:r>
            <w:r w:rsidRPr="009357E5">
              <w:rPr>
                <w:rFonts w:asciiTheme="minorHAnsi" w:eastAsia="MS Mincho" w:hAnsiTheme="minorHAnsi" w:cs="MS Mincho"/>
                <w:b/>
              </w:rPr>
              <w:t xml:space="preserve">| </w:t>
            </w:r>
            <w:r w:rsidRPr="009357E5">
              <w:rPr>
                <w:rFonts w:asciiTheme="minorHAnsi" w:hAnsiTheme="minorHAnsi"/>
                <w:b/>
              </w:rPr>
              <w:t xml:space="preserve">Projects </w:t>
            </w:r>
            <w:r w:rsidRPr="009357E5">
              <w:rPr>
                <w:rFonts w:asciiTheme="minorHAnsi" w:eastAsia="MS Mincho" w:hAnsiTheme="minorHAnsi" w:cs="MS Mincho"/>
                <w:b/>
              </w:rPr>
              <w:t>|</w:t>
            </w:r>
            <w:r w:rsidRPr="009357E5">
              <w:rPr>
                <w:rFonts w:asciiTheme="minorHAnsi" w:hAnsiTheme="minorHAnsi"/>
                <w:b/>
              </w:rPr>
              <w:t xml:space="preserve"> </w:t>
            </w:r>
            <w:r w:rsidR="004016AB">
              <w:rPr>
                <w:rFonts w:asciiTheme="minorHAnsi" w:hAnsiTheme="minorHAnsi"/>
                <w:b/>
              </w:rPr>
              <w:t>Quizzes</w:t>
            </w:r>
            <w:r w:rsidRPr="009357E5">
              <w:rPr>
                <w:rFonts w:asciiTheme="minorHAnsi" w:eastAsia="MS Mincho" w:hAnsiTheme="minorHAnsi" w:cs="MS Mincho"/>
                <w:b/>
              </w:rPr>
              <w:t>|</w:t>
            </w:r>
          </w:p>
          <w:p w14:paraId="7BA0A8BE" w14:textId="517B1372" w:rsidR="00F64260" w:rsidRPr="004016AB" w:rsidRDefault="00F64260" w:rsidP="00FA769F">
            <w:pPr>
              <w:spacing w:line="240" w:lineRule="auto"/>
              <w:rPr>
                <w:rFonts w:asciiTheme="minorHAnsi" w:eastAsia="MS Mincho" w:hAnsiTheme="minorHAnsi" w:cs="MS Mincho"/>
                <w:b/>
              </w:rPr>
            </w:pPr>
            <w:r w:rsidRPr="009357E5">
              <w:rPr>
                <w:rFonts w:asciiTheme="minorHAnsi" w:hAnsiTheme="minorHAnsi"/>
                <w:b/>
              </w:rPr>
              <w:t xml:space="preserve">  </w:t>
            </w:r>
          </w:p>
        </w:tc>
      </w:tr>
      <w:tr w:rsidR="00F64260" w:rsidRPr="006E3AF2" w14:paraId="72B2A61B" w14:textId="77777777" w:rsidTr="009357E5">
        <w:tc>
          <w:tcPr>
            <w:tcW w:w="3050"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2790" w:type="dxa"/>
            <w:noWrap/>
          </w:tcPr>
          <w:p w14:paraId="182AA2AA" w14:textId="77777777" w:rsidR="00F64260" w:rsidRPr="009F029C" w:rsidRDefault="00F64260" w:rsidP="001429AA">
            <w:pPr>
              <w:spacing w:line="240" w:lineRule="auto"/>
              <w:rPr>
                <w:b/>
              </w:rPr>
            </w:pPr>
            <w:bookmarkStart w:id="30" w:name="competing"/>
            <w:bookmarkEnd w:id="30"/>
          </w:p>
        </w:tc>
        <w:tc>
          <w:tcPr>
            <w:tcW w:w="4940" w:type="dxa"/>
            <w:noWrap/>
          </w:tcPr>
          <w:p w14:paraId="36AF007E" w14:textId="564C38CC" w:rsidR="00F64260" w:rsidRPr="009357E5" w:rsidRDefault="00661377" w:rsidP="001429AA">
            <w:pPr>
              <w:spacing w:line="240" w:lineRule="auto"/>
              <w:rPr>
                <w:rFonts w:asciiTheme="minorHAnsi" w:hAnsiTheme="minorHAnsi"/>
                <w:b/>
              </w:rPr>
            </w:pPr>
            <w:r>
              <w:rPr>
                <w:rFonts w:asciiTheme="minorHAnsi" w:hAnsiTheme="minorHAnsi"/>
                <w:b/>
              </w:rPr>
              <w:t>CEP 648: Assessment and treatment of co-occurring disorders</w:t>
            </w:r>
          </w:p>
        </w:tc>
      </w:tr>
      <w:tr w:rsidR="00F64260" w:rsidRPr="006E3AF2" w14:paraId="02198359" w14:textId="77777777" w:rsidTr="009357E5">
        <w:tc>
          <w:tcPr>
            <w:tcW w:w="3050"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730"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8"/>
        <w:gridCol w:w="1702"/>
        <w:gridCol w:w="4650"/>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lastRenderedPageBreak/>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B55707"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B55707"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rsidRPr="002D593E" w14:paraId="7B7D4A96" w14:textId="77777777">
        <w:trPr>
          <w:cantSplit/>
        </w:trPr>
        <w:tc>
          <w:tcPr>
            <w:tcW w:w="4518" w:type="dxa"/>
          </w:tcPr>
          <w:p w14:paraId="1571C712" w14:textId="1177A567" w:rsidR="00F64260" w:rsidRPr="004016AB" w:rsidRDefault="004016AB" w:rsidP="004016AB">
            <w:bookmarkStart w:id="31" w:name="outcomes"/>
            <w:bookmarkEnd w:id="31"/>
            <w:r w:rsidRPr="00615E1B">
              <w:t>Identify and apply recovery-oriented best practice principles of integrated treatment for individuals with co-occurring disorders to psychopharmacologic practice, as well as to other practice settings.</w:t>
            </w:r>
          </w:p>
        </w:tc>
        <w:tc>
          <w:tcPr>
            <w:tcW w:w="1710" w:type="dxa"/>
          </w:tcPr>
          <w:p w14:paraId="48EEBF8B" w14:textId="77777777" w:rsidR="00F64260" w:rsidRPr="002D593E" w:rsidRDefault="00F64260">
            <w:pPr>
              <w:spacing w:line="240" w:lineRule="auto"/>
              <w:rPr>
                <w:rFonts w:asciiTheme="minorHAnsi" w:hAnsiTheme="minorHAnsi"/>
              </w:rPr>
            </w:pPr>
            <w:bookmarkStart w:id="32" w:name="standards"/>
            <w:bookmarkEnd w:id="32"/>
          </w:p>
        </w:tc>
        <w:tc>
          <w:tcPr>
            <w:tcW w:w="4788" w:type="dxa"/>
          </w:tcPr>
          <w:p w14:paraId="0A370311" w14:textId="77777777" w:rsidR="00F64260" w:rsidRPr="002D593E" w:rsidRDefault="00F64260">
            <w:pPr>
              <w:spacing w:line="240" w:lineRule="auto"/>
              <w:rPr>
                <w:rFonts w:asciiTheme="minorHAnsi" w:hAnsiTheme="minorHAnsi"/>
              </w:rPr>
            </w:pPr>
            <w:bookmarkStart w:id="33" w:name="measured"/>
            <w:bookmarkEnd w:id="33"/>
          </w:p>
        </w:tc>
      </w:tr>
      <w:tr w:rsidR="00F64260" w:rsidRPr="002D593E" w14:paraId="73043584" w14:textId="77777777">
        <w:trPr>
          <w:cantSplit/>
        </w:trPr>
        <w:tc>
          <w:tcPr>
            <w:tcW w:w="4518" w:type="dxa"/>
          </w:tcPr>
          <w:p w14:paraId="10A34B2A" w14:textId="2238A408" w:rsidR="00F64260" w:rsidRPr="004016AB" w:rsidRDefault="004016AB" w:rsidP="004016AB">
            <w:r w:rsidRPr="00615E1B">
              <w:t>Develop and demonstrate knowledge of how diversity, racism, other isms and oppression affects the diagnosis and treatment of dually diagnosed clients.</w:t>
            </w:r>
          </w:p>
        </w:tc>
        <w:tc>
          <w:tcPr>
            <w:tcW w:w="1710" w:type="dxa"/>
          </w:tcPr>
          <w:p w14:paraId="638748AC" w14:textId="77777777" w:rsidR="00F64260" w:rsidRPr="002D593E" w:rsidRDefault="00F64260">
            <w:pPr>
              <w:spacing w:line="240" w:lineRule="auto"/>
              <w:rPr>
                <w:rFonts w:asciiTheme="minorHAnsi" w:hAnsiTheme="minorHAnsi"/>
              </w:rPr>
            </w:pPr>
          </w:p>
        </w:tc>
        <w:tc>
          <w:tcPr>
            <w:tcW w:w="4788" w:type="dxa"/>
          </w:tcPr>
          <w:p w14:paraId="57FBD416" w14:textId="77777777" w:rsidR="00F64260" w:rsidRPr="002D593E" w:rsidRDefault="00F64260">
            <w:pPr>
              <w:spacing w:line="240" w:lineRule="auto"/>
              <w:rPr>
                <w:rFonts w:asciiTheme="minorHAnsi" w:hAnsiTheme="minorHAnsi"/>
              </w:rPr>
            </w:pPr>
          </w:p>
        </w:tc>
      </w:tr>
      <w:tr w:rsidR="00F64260" w:rsidRPr="002D593E" w14:paraId="373F39F0" w14:textId="77777777">
        <w:trPr>
          <w:cantSplit/>
        </w:trPr>
        <w:tc>
          <w:tcPr>
            <w:tcW w:w="4518" w:type="dxa"/>
          </w:tcPr>
          <w:p w14:paraId="03860DE1" w14:textId="308AF0FC" w:rsidR="00F64260" w:rsidRPr="004016AB" w:rsidRDefault="004016AB" w:rsidP="004016AB">
            <w:r w:rsidRPr="00615E1B">
              <w:t>Learn about the various treatment models commonly used to treat dually diagnosed clients.</w:t>
            </w:r>
          </w:p>
        </w:tc>
        <w:tc>
          <w:tcPr>
            <w:tcW w:w="1710" w:type="dxa"/>
          </w:tcPr>
          <w:p w14:paraId="48CF2D35" w14:textId="77777777" w:rsidR="00F64260" w:rsidRPr="002D593E" w:rsidRDefault="00F64260">
            <w:pPr>
              <w:spacing w:line="240" w:lineRule="auto"/>
              <w:rPr>
                <w:rFonts w:asciiTheme="minorHAnsi" w:hAnsiTheme="minorHAnsi"/>
              </w:rPr>
            </w:pPr>
          </w:p>
        </w:tc>
        <w:tc>
          <w:tcPr>
            <w:tcW w:w="4788" w:type="dxa"/>
          </w:tcPr>
          <w:p w14:paraId="4F061422" w14:textId="4AE292E5" w:rsidR="00F64260" w:rsidRPr="002D593E" w:rsidRDefault="00F64260" w:rsidP="00AE7A3D">
            <w:pPr>
              <w:spacing w:line="240" w:lineRule="auto"/>
              <w:rPr>
                <w:rFonts w:asciiTheme="minorHAnsi" w:hAnsiTheme="minorHAnsi"/>
              </w:rPr>
            </w:pPr>
          </w:p>
        </w:tc>
      </w:tr>
      <w:tr w:rsidR="00572D40" w:rsidRPr="002D593E" w14:paraId="7171B15A" w14:textId="77777777">
        <w:trPr>
          <w:cantSplit/>
        </w:trPr>
        <w:tc>
          <w:tcPr>
            <w:tcW w:w="4518" w:type="dxa"/>
          </w:tcPr>
          <w:p w14:paraId="4620280A" w14:textId="37DEC4CD" w:rsidR="00572D40" w:rsidRPr="004016AB" w:rsidRDefault="004016AB" w:rsidP="004016AB">
            <w:r w:rsidRPr="00615E1B">
              <w:t>Develop and demonstrate techniques for assessing chemical dependency.</w:t>
            </w:r>
          </w:p>
        </w:tc>
        <w:tc>
          <w:tcPr>
            <w:tcW w:w="1710" w:type="dxa"/>
          </w:tcPr>
          <w:p w14:paraId="5AACD197" w14:textId="77777777" w:rsidR="00572D40" w:rsidRPr="002D593E" w:rsidRDefault="00572D40">
            <w:pPr>
              <w:spacing w:line="240" w:lineRule="auto"/>
              <w:rPr>
                <w:rFonts w:asciiTheme="minorHAnsi" w:hAnsiTheme="minorHAnsi"/>
              </w:rPr>
            </w:pPr>
          </w:p>
        </w:tc>
        <w:tc>
          <w:tcPr>
            <w:tcW w:w="4788" w:type="dxa"/>
          </w:tcPr>
          <w:p w14:paraId="32F1630D" w14:textId="77777777" w:rsidR="00572D40" w:rsidRPr="002D593E" w:rsidRDefault="00572D40" w:rsidP="00AE7A3D">
            <w:pPr>
              <w:spacing w:line="240" w:lineRule="auto"/>
              <w:rPr>
                <w:rFonts w:asciiTheme="minorHAnsi" w:hAnsiTheme="minorHAnsi"/>
              </w:rPr>
            </w:pPr>
          </w:p>
        </w:tc>
      </w:tr>
      <w:tr w:rsidR="00572D40" w:rsidRPr="002D593E" w14:paraId="2ABC6738" w14:textId="77777777">
        <w:trPr>
          <w:cantSplit/>
        </w:trPr>
        <w:tc>
          <w:tcPr>
            <w:tcW w:w="4518" w:type="dxa"/>
          </w:tcPr>
          <w:p w14:paraId="617DE2A2" w14:textId="29BA08D6" w:rsidR="00572D40" w:rsidRPr="0086662A" w:rsidRDefault="0086662A" w:rsidP="0086662A">
            <w:r w:rsidRPr="00615E1B">
              <w:t xml:space="preserve">Develop and demonstrate knowledge of the principles and procedures used to determine a psychiatric diagnosis using the DSM-5. </w:t>
            </w:r>
          </w:p>
        </w:tc>
        <w:tc>
          <w:tcPr>
            <w:tcW w:w="1710" w:type="dxa"/>
          </w:tcPr>
          <w:p w14:paraId="356C4EFF" w14:textId="77777777" w:rsidR="00572D40" w:rsidRPr="002D593E" w:rsidRDefault="00572D40">
            <w:pPr>
              <w:spacing w:line="240" w:lineRule="auto"/>
              <w:rPr>
                <w:rFonts w:asciiTheme="minorHAnsi" w:hAnsiTheme="minorHAnsi"/>
              </w:rPr>
            </w:pPr>
          </w:p>
        </w:tc>
        <w:tc>
          <w:tcPr>
            <w:tcW w:w="4788" w:type="dxa"/>
          </w:tcPr>
          <w:p w14:paraId="171F66EE" w14:textId="77777777" w:rsidR="00572D40" w:rsidRPr="002D593E" w:rsidRDefault="00572D40" w:rsidP="00AE7A3D">
            <w:pPr>
              <w:spacing w:line="240" w:lineRule="auto"/>
              <w:rPr>
                <w:rFonts w:asciiTheme="minorHAnsi" w:hAnsiTheme="minorHAnsi"/>
              </w:rPr>
            </w:pPr>
          </w:p>
        </w:tc>
      </w:tr>
      <w:tr w:rsidR="00572D40" w:rsidRPr="002D593E" w14:paraId="6FD889EF" w14:textId="77777777">
        <w:trPr>
          <w:cantSplit/>
        </w:trPr>
        <w:tc>
          <w:tcPr>
            <w:tcW w:w="4518" w:type="dxa"/>
          </w:tcPr>
          <w:p w14:paraId="2800FD64" w14:textId="25B7C679" w:rsidR="00572D40" w:rsidRPr="0086662A" w:rsidRDefault="0086662A" w:rsidP="0086662A">
            <w:r w:rsidRPr="00635F8D">
              <w:t>Understand how to recognize the diagnostic features of the more common mental health disorders. Learn the key treatment issues of those mental health disorders.</w:t>
            </w:r>
          </w:p>
        </w:tc>
        <w:tc>
          <w:tcPr>
            <w:tcW w:w="1710" w:type="dxa"/>
          </w:tcPr>
          <w:p w14:paraId="4905AB16" w14:textId="77777777" w:rsidR="00572D40" w:rsidRPr="002D593E" w:rsidRDefault="00572D40">
            <w:pPr>
              <w:spacing w:line="240" w:lineRule="auto"/>
              <w:rPr>
                <w:rFonts w:asciiTheme="minorHAnsi" w:hAnsiTheme="minorHAnsi"/>
              </w:rPr>
            </w:pPr>
          </w:p>
        </w:tc>
        <w:tc>
          <w:tcPr>
            <w:tcW w:w="4788" w:type="dxa"/>
          </w:tcPr>
          <w:p w14:paraId="798148F3" w14:textId="77777777" w:rsidR="00572D40" w:rsidRPr="002D593E" w:rsidRDefault="00572D40" w:rsidP="00AE7A3D">
            <w:pPr>
              <w:spacing w:line="240" w:lineRule="auto"/>
              <w:rPr>
                <w:rFonts w:asciiTheme="minorHAnsi" w:hAnsiTheme="minorHAnsi"/>
              </w:rPr>
            </w:pPr>
          </w:p>
        </w:tc>
      </w:tr>
      <w:tr w:rsidR="00572D40" w:rsidRPr="002D593E" w14:paraId="22E82853" w14:textId="77777777">
        <w:trPr>
          <w:cantSplit/>
        </w:trPr>
        <w:tc>
          <w:tcPr>
            <w:tcW w:w="4518" w:type="dxa"/>
          </w:tcPr>
          <w:p w14:paraId="25E63425" w14:textId="0D5404A2" w:rsidR="00572D40" w:rsidRPr="0086662A" w:rsidRDefault="0086662A" w:rsidP="0086662A">
            <w:r w:rsidRPr="00635F8D">
              <w:t>Know how to implement treatment strategies and tactics when working with the dually diagnosed client.</w:t>
            </w:r>
          </w:p>
        </w:tc>
        <w:tc>
          <w:tcPr>
            <w:tcW w:w="1710" w:type="dxa"/>
          </w:tcPr>
          <w:p w14:paraId="0B6B411E" w14:textId="77777777" w:rsidR="00572D40" w:rsidRPr="002D593E" w:rsidRDefault="00572D40">
            <w:pPr>
              <w:spacing w:line="240" w:lineRule="auto"/>
              <w:rPr>
                <w:rFonts w:asciiTheme="minorHAnsi" w:hAnsiTheme="minorHAnsi"/>
              </w:rPr>
            </w:pPr>
          </w:p>
        </w:tc>
        <w:tc>
          <w:tcPr>
            <w:tcW w:w="4788" w:type="dxa"/>
          </w:tcPr>
          <w:p w14:paraId="2CADCEED" w14:textId="77777777" w:rsidR="00572D40" w:rsidRPr="002D593E" w:rsidRDefault="00572D40" w:rsidP="00AE7A3D">
            <w:pPr>
              <w:spacing w:line="240" w:lineRule="auto"/>
              <w:rPr>
                <w:rFonts w:asciiTheme="minorHAnsi" w:hAnsiTheme="minorHAnsi"/>
              </w:rPr>
            </w:pPr>
          </w:p>
        </w:tc>
      </w:tr>
      <w:tr w:rsidR="0055742F" w:rsidRPr="002D593E" w14:paraId="17A634DE" w14:textId="77777777">
        <w:trPr>
          <w:cantSplit/>
        </w:trPr>
        <w:tc>
          <w:tcPr>
            <w:tcW w:w="4518" w:type="dxa"/>
          </w:tcPr>
          <w:p w14:paraId="474FB49F" w14:textId="3886E18D" w:rsidR="0055742F" w:rsidRPr="0086662A" w:rsidRDefault="0086662A" w:rsidP="0086662A">
            <w:r w:rsidRPr="00635F8D">
              <w:t>Gain knowledge of relapse prevention techniques.</w:t>
            </w:r>
          </w:p>
        </w:tc>
        <w:tc>
          <w:tcPr>
            <w:tcW w:w="1710" w:type="dxa"/>
          </w:tcPr>
          <w:p w14:paraId="57D1102D" w14:textId="77777777" w:rsidR="0055742F" w:rsidRPr="002D593E" w:rsidRDefault="0055742F">
            <w:pPr>
              <w:spacing w:line="240" w:lineRule="auto"/>
              <w:rPr>
                <w:rFonts w:asciiTheme="minorHAnsi" w:hAnsiTheme="minorHAnsi"/>
              </w:rPr>
            </w:pPr>
          </w:p>
        </w:tc>
        <w:tc>
          <w:tcPr>
            <w:tcW w:w="4788" w:type="dxa"/>
          </w:tcPr>
          <w:p w14:paraId="0A667514" w14:textId="77777777" w:rsidR="0055742F" w:rsidRPr="002D593E" w:rsidRDefault="0055742F" w:rsidP="00AE7A3D">
            <w:pPr>
              <w:spacing w:line="240" w:lineRule="auto"/>
              <w:rPr>
                <w:rFonts w:asciiTheme="minorHAnsi" w:hAnsiTheme="minorHAnsi"/>
              </w:rPr>
            </w:pPr>
          </w:p>
        </w:tc>
      </w:tr>
      <w:tr w:rsidR="0055742F" w:rsidRPr="002D593E" w14:paraId="47752FD7" w14:textId="77777777">
        <w:trPr>
          <w:cantSplit/>
        </w:trPr>
        <w:tc>
          <w:tcPr>
            <w:tcW w:w="4518" w:type="dxa"/>
          </w:tcPr>
          <w:p w14:paraId="58029D59" w14:textId="69A2830A" w:rsidR="0055742F" w:rsidRPr="0086662A" w:rsidRDefault="0086662A" w:rsidP="0086662A">
            <w:r w:rsidRPr="00635F8D">
              <w:t>Identify approaches for using medication-assisted treatment (MAT) for substance use disorders in the context of psychopharmacologic practice that supports recovery for people with co-occurring disorders.</w:t>
            </w:r>
          </w:p>
        </w:tc>
        <w:tc>
          <w:tcPr>
            <w:tcW w:w="1710" w:type="dxa"/>
          </w:tcPr>
          <w:p w14:paraId="775B4F7F" w14:textId="77777777" w:rsidR="0055742F" w:rsidRPr="002D593E" w:rsidRDefault="0055742F">
            <w:pPr>
              <w:spacing w:line="240" w:lineRule="auto"/>
              <w:rPr>
                <w:rFonts w:asciiTheme="minorHAnsi" w:hAnsiTheme="minorHAnsi"/>
              </w:rPr>
            </w:pPr>
          </w:p>
        </w:tc>
        <w:tc>
          <w:tcPr>
            <w:tcW w:w="4788" w:type="dxa"/>
          </w:tcPr>
          <w:p w14:paraId="0505B81F" w14:textId="77777777" w:rsidR="0055742F" w:rsidRPr="002D593E" w:rsidRDefault="0055742F" w:rsidP="00AE7A3D">
            <w:pPr>
              <w:spacing w:line="240" w:lineRule="auto"/>
              <w:rPr>
                <w:rFonts w:asciiTheme="minorHAnsi" w:hAnsiTheme="minorHAnsi"/>
              </w:rPr>
            </w:pPr>
          </w:p>
        </w:tc>
      </w:tr>
    </w:tbl>
    <w:p w14:paraId="120281BA" w14:textId="77777777" w:rsidR="00A90A26" w:rsidRPr="002D593E" w:rsidRDefault="00A90A26">
      <w:pPr>
        <w:rPr>
          <w:rFonts w:asciiTheme="minorHAnsi" w:hAnsiTheme="minorHAnsi"/>
        </w:rPr>
      </w:pPr>
    </w:p>
    <w:p w14:paraId="5503D275" w14:textId="77777777" w:rsidR="00A8451E" w:rsidRPr="002D593E" w:rsidRDefault="00A8451E">
      <w:pPr>
        <w:rPr>
          <w:rFonts w:asciiTheme="minorHAnsi" w:hAnsiTheme="minorHAnsi"/>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rsidRPr="002D593E" w14:paraId="680A3CB2" w14:textId="77777777">
        <w:trPr>
          <w:tblHeader/>
        </w:trPr>
        <w:tc>
          <w:tcPr>
            <w:tcW w:w="11016" w:type="dxa"/>
          </w:tcPr>
          <w:p w14:paraId="4EC7F4E1" w14:textId="13F7E7E0" w:rsidR="00F64260" w:rsidRPr="002D593E" w:rsidRDefault="00786121" w:rsidP="000556B3">
            <w:pPr>
              <w:keepNext/>
              <w:spacing w:line="240" w:lineRule="auto"/>
              <w:rPr>
                <w:rFonts w:asciiTheme="minorHAnsi" w:hAnsiTheme="minorHAnsi"/>
              </w:rPr>
            </w:pPr>
            <w:r w:rsidRPr="002D593E">
              <w:rPr>
                <w:rFonts w:asciiTheme="minorHAnsi" w:hAnsiTheme="minorHAnsi"/>
              </w:rPr>
              <w:lastRenderedPageBreak/>
              <w:t>B.17</w:t>
            </w:r>
            <w:r w:rsidR="00F64260" w:rsidRPr="002D593E">
              <w:rPr>
                <w:rFonts w:asciiTheme="minorHAnsi" w:hAnsiTheme="minorHAnsi"/>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2D593E">
                <w:rPr>
                  <w:rStyle w:val="Hyperlink"/>
                  <w:rFonts w:asciiTheme="minorHAnsi" w:hAnsiTheme="minorHAnsi"/>
                  <w:b/>
                </w:rPr>
                <w:t>Topical outline</w:t>
              </w:r>
            </w:hyperlink>
            <w:r w:rsidR="00C629CB" w:rsidRPr="002D593E">
              <w:rPr>
                <w:rStyle w:val="Hyperlink"/>
                <w:rFonts w:asciiTheme="minorHAnsi" w:hAnsiTheme="minorHAnsi"/>
                <w:b/>
              </w:rPr>
              <w:t xml:space="preserve">:  </w:t>
            </w:r>
            <w:r w:rsidR="00C629CB" w:rsidRPr="002D593E">
              <w:rPr>
                <w:rStyle w:val="Hyperlink"/>
                <w:rFonts w:asciiTheme="minorHAnsi" w:hAnsiTheme="minorHAnsi"/>
                <w:b/>
                <w:highlight w:val="yellow"/>
              </w:rPr>
              <w:t>Do NOT insert a full syllabus, only the topical outline</w:t>
            </w:r>
          </w:p>
        </w:tc>
      </w:tr>
      <w:tr w:rsidR="00F64260" w:rsidRPr="002D593E" w14:paraId="12F1D273" w14:textId="77777777" w:rsidTr="00F06DDF">
        <w:trPr>
          <w:trHeight w:val="3229"/>
        </w:trPr>
        <w:tc>
          <w:tcPr>
            <w:tcW w:w="11016" w:type="dxa"/>
          </w:tcPr>
          <w:p w14:paraId="37DABA7B" w14:textId="77777777" w:rsidR="00A80F49" w:rsidRPr="002D593E" w:rsidRDefault="00A80F49" w:rsidP="00A80F49">
            <w:pPr>
              <w:jc w:val="center"/>
              <w:rPr>
                <w:rFonts w:asciiTheme="minorHAnsi" w:hAnsiTheme="minorHAnsi"/>
              </w:rPr>
            </w:pPr>
            <w:bookmarkStart w:id="34" w:name="outline"/>
            <w:bookmarkEnd w:id="34"/>
            <w:r w:rsidRPr="002D593E">
              <w:rPr>
                <w:rFonts w:asciiTheme="minorHAnsi" w:hAnsiTheme="minorHAnsi"/>
                <w:b/>
              </w:rPr>
              <w:t>Course Outline</w:t>
            </w: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8040"/>
            </w:tblGrid>
            <w:tr w:rsidR="00F06DDF" w:rsidRPr="002D593E" w14:paraId="2D6BA465" w14:textId="77777777" w:rsidTr="00F06DDF">
              <w:trPr>
                <w:trHeight w:hRule="exact" w:val="792"/>
              </w:trPr>
              <w:tc>
                <w:tcPr>
                  <w:tcW w:w="1041" w:type="dxa"/>
                  <w:tcBorders>
                    <w:top w:val="nil"/>
                    <w:bottom w:val="nil"/>
                  </w:tcBorders>
                  <w:shd w:val="clear" w:color="auto" w:fill="A6A6A6"/>
                  <w:vAlign w:val="center"/>
                </w:tcPr>
                <w:p w14:paraId="5D30D0C8" w14:textId="1BFF50CF" w:rsidR="00F06DDF" w:rsidRPr="002D593E" w:rsidRDefault="00F06DDF" w:rsidP="00A80F49">
                  <w:pPr>
                    <w:spacing w:before="100" w:beforeAutospacing="1" w:after="100" w:afterAutospacing="1"/>
                    <w:jc w:val="center"/>
                    <w:rPr>
                      <w:rFonts w:asciiTheme="minorHAnsi" w:hAnsiTheme="minorHAnsi"/>
                      <w:b/>
                    </w:rPr>
                  </w:pPr>
                </w:p>
              </w:tc>
              <w:tc>
                <w:tcPr>
                  <w:tcW w:w="8040" w:type="dxa"/>
                  <w:tcBorders>
                    <w:top w:val="nil"/>
                    <w:bottom w:val="nil"/>
                  </w:tcBorders>
                  <w:shd w:val="clear" w:color="auto" w:fill="A6A6A6"/>
                  <w:vAlign w:val="center"/>
                </w:tcPr>
                <w:p w14:paraId="3ABD484D" w14:textId="562D1D1B" w:rsidR="00F06DDF" w:rsidRPr="002D593E" w:rsidRDefault="00F06DDF" w:rsidP="00A80F49">
                  <w:pPr>
                    <w:spacing w:before="100" w:beforeAutospacing="1" w:after="100" w:afterAutospacing="1"/>
                    <w:rPr>
                      <w:rFonts w:asciiTheme="minorHAnsi" w:hAnsiTheme="minorHAnsi"/>
                      <w:b/>
                    </w:rPr>
                  </w:pPr>
                  <w:r w:rsidRPr="002D593E">
                    <w:rPr>
                      <w:rFonts w:asciiTheme="minorHAnsi" w:hAnsiTheme="minorHAnsi"/>
                      <w:b/>
                    </w:rPr>
                    <w:t>TOPICAL OUTLINE</w:t>
                  </w:r>
                </w:p>
                <w:p w14:paraId="0A8B75DC" w14:textId="77777777" w:rsidR="00F06DDF" w:rsidRPr="002D593E" w:rsidRDefault="00F06DDF" w:rsidP="00A80F49">
                  <w:pPr>
                    <w:spacing w:before="100" w:beforeAutospacing="1" w:after="100" w:afterAutospacing="1"/>
                    <w:jc w:val="center"/>
                    <w:rPr>
                      <w:rFonts w:asciiTheme="minorHAnsi" w:hAnsiTheme="minorHAnsi"/>
                      <w:b/>
                    </w:rPr>
                  </w:pPr>
                </w:p>
                <w:p w14:paraId="23354221" w14:textId="77777777" w:rsidR="00F06DDF" w:rsidRPr="002D593E" w:rsidRDefault="00F06DDF" w:rsidP="00A80F49">
                  <w:pPr>
                    <w:spacing w:before="100" w:beforeAutospacing="1" w:after="100" w:afterAutospacing="1"/>
                    <w:jc w:val="center"/>
                    <w:rPr>
                      <w:rFonts w:asciiTheme="minorHAnsi" w:hAnsiTheme="minorHAnsi"/>
                      <w:b/>
                    </w:rPr>
                  </w:pPr>
                </w:p>
                <w:p w14:paraId="4D36B139" w14:textId="77777777" w:rsidR="00F06DDF" w:rsidRPr="002D593E" w:rsidRDefault="00F06DDF" w:rsidP="00A80F49">
                  <w:pPr>
                    <w:spacing w:before="100" w:beforeAutospacing="1" w:after="100" w:afterAutospacing="1"/>
                    <w:jc w:val="center"/>
                    <w:rPr>
                      <w:rFonts w:asciiTheme="minorHAnsi" w:hAnsiTheme="minorHAnsi"/>
                      <w:b/>
                    </w:rPr>
                  </w:pPr>
                </w:p>
                <w:p w14:paraId="4639AB41" w14:textId="77777777" w:rsidR="00F06DDF" w:rsidRPr="002D593E" w:rsidRDefault="00F06DDF" w:rsidP="00A80F49">
                  <w:pPr>
                    <w:spacing w:before="100" w:beforeAutospacing="1" w:after="100" w:afterAutospacing="1"/>
                    <w:jc w:val="center"/>
                    <w:rPr>
                      <w:rFonts w:asciiTheme="minorHAnsi" w:hAnsiTheme="minorHAnsi"/>
                      <w:b/>
                    </w:rPr>
                  </w:pPr>
                </w:p>
              </w:tc>
            </w:tr>
            <w:tr w:rsidR="00F06DDF" w:rsidRPr="0086662A" w14:paraId="1CBC4860" w14:textId="77777777" w:rsidTr="00F06DDF">
              <w:trPr>
                <w:trHeight w:val="157"/>
              </w:trPr>
              <w:tc>
                <w:tcPr>
                  <w:tcW w:w="1041" w:type="dxa"/>
                  <w:tcBorders>
                    <w:top w:val="nil"/>
                  </w:tcBorders>
                  <w:shd w:val="clear" w:color="auto" w:fill="auto"/>
                </w:tcPr>
                <w:p w14:paraId="158E90FC" w14:textId="77777777" w:rsidR="00F06DDF" w:rsidRPr="0086662A" w:rsidRDefault="00F06DDF" w:rsidP="00A80F49">
                  <w:pPr>
                    <w:widowControl w:val="0"/>
                    <w:tabs>
                      <w:tab w:val="left" w:pos="2880"/>
                    </w:tabs>
                    <w:jc w:val="center"/>
                    <w:rPr>
                      <w:rStyle w:val="WP9Hyperlin"/>
                      <w:b/>
                    </w:rPr>
                  </w:pPr>
                  <w:r w:rsidRPr="0086662A">
                    <w:rPr>
                      <w:b/>
                    </w:rPr>
                    <w:t>1</w:t>
                  </w:r>
                  <w:r w:rsidRPr="0086662A">
                    <w:rPr>
                      <w:rStyle w:val="WP9Hyperlin"/>
                      <w:b/>
                    </w:rPr>
                    <w:t xml:space="preserve"> </w:t>
                  </w:r>
                </w:p>
                <w:p w14:paraId="195CC24E" w14:textId="77777777" w:rsidR="00F06DDF" w:rsidRPr="0086662A" w:rsidRDefault="00F06DDF" w:rsidP="00A80F49">
                  <w:pPr>
                    <w:widowControl w:val="0"/>
                    <w:tabs>
                      <w:tab w:val="left" w:pos="2880"/>
                    </w:tabs>
                    <w:jc w:val="center"/>
                  </w:pPr>
                </w:p>
              </w:tc>
              <w:tc>
                <w:tcPr>
                  <w:tcW w:w="8040" w:type="dxa"/>
                  <w:tcBorders>
                    <w:top w:val="nil"/>
                  </w:tcBorders>
                  <w:shd w:val="clear" w:color="auto" w:fill="auto"/>
                </w:tcPr>
                <w:p w14:paraId="6CD75A9E" w14:textId="1A89FF9C" w:rsidR="00F06DDF" w:rsidRPr="0086662A" w:rsidRDefault="00F06DDF" w:rsidP="0086662A">
                  <w:r w:rsidRPr="0086662A">
                    <w:t xml:space="preserve">Introduction to the class Topics: Reviewing the syllabus; Importance of understanding personal bias in building relationship; power dynamics; starting to consider personal theories of substance use disorders rooted in culture. </w:t>
                  </w:r>
                </w:p>
              </w:tc>
            </w:tr>
            <w:tr w:rsidR="00F06DDF" w:rsidRPr="0086662A" w14:paraId="462F9C33" w14:textId="77777777" w:rsidTr="00F06DDF">
              <w:trPr>
                <w:trHeight w:val="157"/>
              </w:trPr>
              <w:tc>
                <w:tcPr>
                  <w:tcW w:w="1041" w:type="dxa"/>
                  <w:shd w:val="clear" w:color="auto" w:fill="auto"/>
                </w:tcPr>
                <w:p w14:paraId="7E3150C8" w14:textId="77777777" w:rsidR="00F06DDF" w:rsidRPr="0086662A" w:rsidRDefault="00F06DDF" w:rsidP="00A80F49">
                  <w:pPr>
                    <w:spacing w:before="100" w:beforeAutospacing="1" w:after="100" w:afterAutospacing="1"/>
                    <w:jc w:val="center"/>
                    <w:rPr>
                      <w:b/>
                    </w:rPr>
                  </w:pPr>
                  <w:r w:rsidRPr="0086662A">
                    <w:rPr>
                      <w:b/>
                    </w:rPr>
                    <w:t>2</w:t>
                  </w:r>
                </w:p>
                <w:p w14:paraId="44F4F48E" w14:textId="77777777" w:rsidR="00F06DDF" w:rsidRPr="0086662A" w:rsidRDefault="00F06DDF" w:rsidP="00A80F49">
                  <w:pPr>
                    <w:spacing w:before="100" w:beforeAutospacing="1" w:after="100" w:afterAutospacing="1"/>
                    <w:jc w:val="center"/>
                  </w:pPr>
                </w:p>
              </w:tc>
              <w:tc>
                <w:tcPr>
                  <w:tcW w:w="8040" w:type="dxa"/>
                  <w:shd w:val="clear" w:color="auto" w:fill="auto"/>
                </w:tcPr>
                <w:p w14:paraId="0486E5EE" w14:textId="633B4755" w:rsidR="00F06DDF" w:rsidRPr="0086662A" w:rsidRDefault="00F06DDF" w:rsidP="00A80F49">
                  <w:r w:rsidRPr="0086662A">
                    <w:t>Overview of substance use disorder: Review historical, ethical, legal/political perspectives on substance use and misuse. Understanding the differences between HIPAA, FERPA and 42 CFR when caring for individuals with substance use disorder. Explore peer support models and issues related to confidentiality and self-disclosure.</w:t>
                  </w:r>
                </w:p>
              </w:tc>
            </w:tr>
            <w:tr w:rsidR="00F06DDF" w:rsidRPr="0086662A" w14:paraId="59A11D17" w14:textId="77777777" w:rsidTr="00F06DDF">
              <w:trPr>
                <w:trHeight w:val="157"/>
              </w:trPr>
              <w:tc>
                <w:tcPr>
                  <w:tcW w:w="1041" w:type="dxa"/>
                  <w:shd w:val="clear" w:color="auto" w:fill="auto"/>
                </w:tcPr>
                <w:p w14:paraId="2B8827F8" w14:textId="77777777" w:rsidR="00F06DDF" w:rsidRPr="0086662A" w:rsidRDefault="00F06DDF" w:rsidP="00A80F49">
                  <w:pPr>
                    <w:spacing w:before="100" w:beforeAutospacing="1" w:after="100" w:afterAutospacing="1"/>
                    <w:jc w:val="center"/>
                    <w:rPr>
                      <w:b/>
                    </w:rPr>
                  </w:pPr>
                  <w:r w:rsidRPr="0086662A">
                    <w:rPr>
                      <w:b/>
                    </w:rPr>
                    <w:t>3</w:t>
                  </w:r>
                </w:p>
                <w:p w14:paraId="21722DF6" w14:textId="77777777" w:rsidR="00F06DDF" w:rsidRPr="0086662A" w:rsidRDefault="00F06DDF" w:rsidP="00A80F49">
                  <w:pPr>
                    <w:spacing w:before="100" w:beforeAutospacing="1" w:after="100" w:afterAutospacing="1"/>
                    <w:jc w:val="center"/>
                    <w:rPr>
                      <w:b/>
                    </w:rPr>
                  </w:pPr>
                </w:p>
              </w:tc>
              <w:tc>
                <w:tcPr>
                  <w:tcW w:w="8040" w:type="dxa"/>
                  <w:shd w:val="clear" w:color="auto" w:fill="auto"/>
                </w:tcPr>
                <w:p w14:paraId="6A2FCBA1" w14:textId="77777777" w:rsidR="00F06DDF" w:rsidRPr="0086662A" w:rsidRDefault="00F06DDF" w:rsidP="00A80F49">
                  <w:r w:rsidRPr="0086662A">
                    <w:t>History of co-occurring mental health and substance use disorder. Review common DSM-5 diagnoses. Critique of use of diagnostic frameworks. Address levels of care including Inpatient program (IP), Intensive Outpatient Program (IOP), Sober Living (SL). Address Affordable Care Act, Public care vs. Private care. Also, insurance companies: what every social worker needs to know when working with individuals with dual diagnosis.</w:t>
                  </w:r>
                </w:p>
                <w:p w14:paraId="3E478AB5" w14:textId="157922DD" w:rsidR="00F06DDF" w:rsidRPr="0086662A" w:rsidRDefault="00F06DDF" w:rsidP="00A80F49">
                  <w:pPr>
                    <w:pStyle w:val="ListParagraph"/>
                    <w:autoSpaceDE w:val="0"/>
                    <w:autoSpaceDN w:val="0"/>
                    <w:adjustRightInd w:val="0"/>
                    <w:spacing w:line="240" w:lineRule="auto"/>
                    <w:ind w:left="810"/>
                    <w:rPr>
                      <w:bCs/>
                    </w:rPr>
                  </w:pPr>
                </w:p>
              </w:tc>
            </w:tr>
            <w:tr w:rsidR="00F06DDF" w:rsidRPr="0086662A" w14:paraId="4516D76A" w14:textId="77777777" w:rsidTr="00F06DDF">
              <w:trPr>
                <w:trHeight w:val="157"/>
              </w:trPr>
              <w:tc>
                <w:tcPr>
                  <w:tcW w:w="1041" w:type="dxa"/>
                  <w:shd w:val="clear" w:color="auto" w:fill="auto"/>
                </w:tcPr>
                <w:p w14:paraId="14E5E54F" w14:textId="77777777" w:rsidR="00F06DDF" w:rsidRPr="0086662A" w:rsidRDefault="00F06DDF" w:rsidP="00A80F49">
                  <w:pPr>
                    <w:spacing w:before="100" w:beforeAutospacing="1" w:after="100" w:afterAutospacing="1"/>
                    <w:jc w:val="center"/>
                    <w:rPr>
                      <w:b/>
                    </w:rPr>
                  </w:pPr>
                  <w:r w:rsidRPr="0086662A">
                    <w:rPr>
                      <w:b/>
                    </w:rPr>
                    <w:t>4</w:t>
                  </w:r>
                </w:p>
                <w:p w14:paraId="529AB508" w14:textId="77777777" w:rsidR="00F06DDF" w:rsidRPr="0086662A" w:rsidRDefault="00F06DDF" w:rsidP="00A80F49">
                  <w:pPr>
                    <w:spacing w:before="100" w:beforeAutospacing="1" w:after="100" w:afterAutospacing="1"/>
                    <w:jc w:val="center"/>
                  </w:pPr>
                </w:p>
              </w:tc>
              <w:tc>
                <w:tcPr>
                  <w:tcW w:w="8040" w:type="dxa"/>
                  <w:shd w:val="clear" w:color="auto" w:fill="auto"/>
                </w:tcPr>
                <w:p w14:paraId="1AFBB336" w14:textId="4FEA7343" w:rsidR="00F06DDF" w:rsidRPr="0086662A" w:rsidRDefault="00F06DDF" w:rsidP="0086662A">
                  <w:r w:rsidRPr="0086662A">
                    <w:t>Exploring cultural influences, Stigma, Substance use and the brain; the role of genetics; Neurobiological theory of addiction. Explore addiction as a trauma response.</w:t>
                  </w:r>
                </w:p>
              </w:tc>
            </w:tr>
            <w:tr w:rsidR="00F06DDF" w:rsidRPr="0086662A" w14:paraId="5186E075" w14:textId="77777777" w:rsidTr="00F06DDF">
              <w:trPr>
                <w:trHeight w:val="800"/>
              </w:trPr>
              <w:tc>
                <w:tcPr>
                  <w:tcW w:w="1041" w:type="dxa"/>
                  <w:shd w:val="clear" w:color="auto" w:fill="auto"/>
                </w:tcPr>
                <w:p w14:paraId="1852CB36" w14:textId="77777777" w:rsidR="00F06DDF" w:rsidRPr="0086662A" w:rsidRDefault="00F06DDF" w:rsidP="00A80F49">
                  <w:pPr>
                    <w:spacing w:before="100" w:beforeAutospacing="1" w:after="100" w:afterAutospacing="1"/>
                    <w:jc w:val="center"/>
                    <w:rPr>
                      <w:b/>
                    </w:rPr>
                  </w:pPr>
                  <w:r w:rsidRPr="0086662A">
                    <w:rPr>
                      <w:b/>
                    </w:rPr>
                    <w:t>5</w:t>
                  </w:r>
                </w:p>
                <w:p w14:paraId="3B4A97F5" w14:textId="77777777" w:rsidR="00F06DDF" w:rsidRPr="0086662A" w:rsidRDefault="00F06DDF" w:rsidP="00A80F49">
                  <w:pPr>
                    <w:spacing w:before="100" w:beforeAutospacing="1" w:after="100" w:afterAutospacing="1"/>
                    <w:jc w:val="center"/>
                  </w:pPr>
                </w:p>
              </w:tc>
              <w:tc>
                <w:tcPr>
                  <w:tcW w:w="8040" w:type="dxa"/>
                  <w:shd w:val="clear" w:color="auto" w:fill="auto"/>
                </w:tcPr>
                <w:p w14:paraId="704CE8AB" w14:textId="0769371A" w:rsidR="00F06DDF" w:rsidRPr="0086662A" w:rsidRDefault="00F06DDF" w:rsidP="009D191B">
                  <w:r w:rsidRPr="0086662A">
                    <w:t>Screening and Assessment of Substance Use Disorders: Culturally inclusive, strengths-based screening and assessment; Establishing the therapeutic alliance in the context of assessment; Role play/skills practice.</w:t>
                  </w:r>
                </w:p>
              </w:tc>
            </w:tr>
            <w:tr w:rsidR="00F06DDF" w:rsidRPr="0086662A" w14:paraId="40C9DF8C" w14:textId="77777777" w:rsidTr="00F06DDF">
              <w:trPr>
                <w:trHeight w:val="494"/>
              </w:trPr>
              <w:tc>
                <w:tcPr>
                  <w:tcW w:w="1041" w:type="dxa"/>
                  <w:shd w:val="clear" w:color="auto" w:fill="auto"/>
                </w:tcPr>
                <w:p w14:paraId="2C578E44" w14:textId="52797EA0" w:rsidR="00F06DDF" w:rsidRPr="0086662A" w:rsidRDefault="00F06DDF" w:rsidP="009D191B">
                  <w:pPr>
                    <w:spacing w:before="100" w:beforeAutospacing="1" w:after="100" w:afterAutospacing="1"/>
                    <w:jc w:val="center"/>
                    <w:rPr>
                      <w:b/>
                    </w:rPr>
                  </w:pPr>
                  <w:r w:rsidRPr="0086662A">
                    <w:rPr>
                      <w:b/>
                    </w:rPr>
                    <w:t>6</w:t>
                  </w:r>
                </w:p>
              </w:tc>
              <w:tc>
                <w:tcPr>
                  <w:tcW w:w="8040" w:type="dxa"/>
                  <w:shd w:val="clear" w:color="auto" w:fill="auto"/>
                </w:tcPr>
                <w:p w14:paraId="662F5482" w14:textId="7054B0CC" w:rsidR="00F06DDF" w:rsidRPr="0086662A" w:rsidRDefault="00F06DDF" w:rsidP="0086662A">
                  <w:r w:rsidRPr="0086662A">
                    <w:t xml:space="preserve">Evidenced based interventions with vulnerable populations. </w:t>
                  </w:r>
                </w:p>
              </w:tc>
            </w:tr>
            <w:tr w:rsidR="00F06DDF" w:rsidRPr="0086662A" w14:paraId="1BF6DD6E" w14:textId="77777777" w:rsidTr="00F06DDF">
              <w:trPr>
                <w:trHeight w:val="1100"/>
              </w:trPr>
              <w:tc>
                <w:tcPr>
                  <w:tcW w:w="1041" w:type="dxa"/>
                  <w:shd w:val="clear" w:color="auto" w:fill="auto"/>
                </w:tcPr>
                <w:p w14:paraId="1B91D7A0" w14:textId="77777777" w:rsidR="00F06DDF" w:rsidRPr="0086662A" w:rsidRDefault="00F06DDF" w:rsidP="00A80F49">
                  <w:pPr>
                    <w:spacing w:before="100" w:beforeAutospacing="1" w:after="100" w:afterAutospacing="1"/>
                    <w:jc w:val="center"/>
                    <w:rPr>
                      <w:b/>
                    </w:rPr>
                  </w:pPr>
                  <w:r w:rsidRPr="0086662A">
                    <w:rPr>
                      <w:b/>
                    </w:rPr>
                    <w:t>7</w:t>
                  </w:r>
                </w:p>
                <w:p w14:paraId="4509DFD4" w14:textId="77777777" w:rsidR="00F06DDF" w:rsidRPr="0086662A" w:rsidRDefault="00F06DDF" w:rsidP="00A80F49"/>
              </w:tc>
              <w:tc>
                <w:tcPr>
                  <w:tcW w:w="8040" w:type="dxa"/>
                  <w:shd w:val="clear" w:color="auto" w:fill="auto"/>
                </w:tcPr>
                <w:p w14:paraId="0D128EA4" w14:textId="7C0F6BAE" w:rsidR="00F06DDF" w:rsidRPr="0086662A" w:rsidRDefault="00F06DDF" w:rsidP="0086662A">
                  <w:r w:rsidRPr="0086662A">
                    <w:t xml:space="preserve">Evidence-based/ Evidenced-informed interventions including motivational interviewing, harm reduction approaches, narrative therapy and 12 Step communities. Class will also address evaluating outcomes and effectiveness and engage in role play/skills practice </w:t>
                  </w:r>
                </w:p>
              </w:tc>
            </w:tr>
            <w:tr w:rsidR="00F06DDF" w:rsidRPr="0086662A" w14:paraId="4153CA81" w14:textId="77777777" w:rsidTr="00F06DDF">
              <w:trPr>
                <w:trHeight w:val="845"/>
              </w:trPr>
              <w:tc>
                <w:tcPr>
                  <w:tcW w:w="1041" w:type="dxa"/>
                  <w:shd w:val="clear" w:color="auto" w:fill="auto"/>
                </w:tcPr>
                <w:p w14:paraId="6899931C" w14:textId="77777777" w:rsidR="00F06DDF" w:rsidRPr="0086662A" w:rsidRDefault="00F06DDF" w:rsidP="00A80F49">
                  <w:pPr>
                    <w:spacing w:before="100" w:beforeAutospacing="1" w:after="100" w:afterAutospacing="1"/>
                    <w:jc w:val="center"/>
                    <w:rPr>
                      <w:b/>
                    </w:rPr>
                  </w:pPr>
                  <w:r w:rsidRPr="0086662A">
                    <w:rPr>
                      <w:b/>
                    </w:rPr>
                    <w:t>8</w:t>
                  </w:r>
                </w:p>
                <w:p w14:paraId="66AD8451" w14:textId="77777777" w:rsidR="00F06DDF" w:rsidRPr="0086662A" w:rsidRDefault="00F06DDF" w:rsidP="009D191B">
                  <w:pPr>
                    <w:spacing w:before="100" w:beforeAutospacing="1" w:after="100" w:afterAutospacing="1"/>
                  </w:pPr>
                </w:p>
              </w:tc>
              <w:tc>
                <w:tcPr>
                  <w:tcW w:w="8040" w:type="dxa"/>
                  <w:shd w:val="clear" w:color="auto" w:fill="auto"/>
                </w:tcPr>
                <w:p w14:paraId="0CBCC810" w14:textId="73116C73" w:rsidR="00F06DDF" w:rsidRPr="0086662A" w:rsidRDefault="00F06DDF" w:rsidP="009D191B">
                  <w:pPr>
                    <w:widowControl w:val="0"/>
                    <w:tabs>
                      <w:tab w:val="left" w:pos="2880"/>
                    </w:tabs>
                    <w:rPr>
                      <w:iCs/>
                    </w:rPr>
                  </w:pPr>
                  <w:r w:rsidRPr="0086662A">
                    <w:t xml:space="preserve">Exploring practice and treatment strategies appropriate to understand and address alcohol use among clients in various human services settings. </w:t>
                  </w:r>
                </w:p>
              </w:tc>
            </w:tr>
            <w:tr w:rsidR="00F06DDF" w:rsidRPr="0086662A" w14:paraId="7EBC0273" w14:textId="77777777" w:rsidTr="00F06DDF">
              <w:trPr>
                <w:trHeight w:val="1394"/>
              </w:trPr>
              <w:tc>
                <w:tcPr>
                  <w:tcW w:w="1041" w:type="dxa"/>
                  <w:shd w:val="clear" w:color="auto" w:fill="auto"/>
                </w:tcPr>
                <w:p w14:paraId="468C95A6" w14:textId="77777777" w:rsidR="00F06DDF" w:rsidRPr="0086662A" w:rsidRDefault="00F06DDF" w:rsidP="00A80F49">
                  <w:pPr>
                    <w:spacing w:before="100" w:beforeAutospacing="1" w:after="100" w:afterAutospacing="1"/>
                    <w:jc w:val="center"/>
                    <w:rPr>
                      <w:b/>
                    </w:rPr>
                  </w:pPr>
                  <w:r w:rsidRPr="0086662A">
                    <w:rPr>
                      <w:b/>
                    </w:rPr>
                    <w:t>9</w:t>
                  </w:r>
                </w:p>
                <w:p w14:paraId="1A55D288" w14:textId="77777777" w:rsidR="00F06DDF" w:rsidRPr="0086662A" w:rsidRDefault="00F06DDF" w:rsidP="00A80F49">
                  <w:pPr>
                    <w:spacing w:before="100" w:beforeAutospacing="1" w:after="100" w:afterAutospacing="1"/>
                    <w:jc w:val="center"/>
                  </w:pPr>
                </w:p>
              </w:tc>
              <w:tc>
                <w:tcPr>
                  <w:tcW w:w="8040" w:type="dxa"/>
                  <w:shd w:val="clear" w:color="auto" w:fill="auto"/>
                </w:tcPr>
                <w:p w14:paraId="5A04A1B2" w14:textId="5882D1DA" w:rsidR="00F06DDF" w:rsidRPr="0086662A" w:rsidRDefault="00F06DDF" w:rsidP="0086662A">
                  <w:r w:rsidRPr="0086662A">
                    <w:t>Opioid addiction has become a public health crisis in the United States. Opioid misuse represents a unique challenge. It is important to explore models of interventions that are efficacious in engaging and treating clients with opioid use disorders and other co-occurring issues.</w:t>
                  </w:r>
                </w:p>
              </w:tc>
            </w:tr>
            <w:tr w:rsidR="00F06DDF" w:rsidRPr="0086662A" w14:paraId="622193DB" w14:textId="77777777" w:rsidTr="00F06DDF">
              <w:trPr>
                <w:trHeight w:val="54"/>
              </w:trPr>
              <w:tc>
                <w:tcPr>
                  <w:tcW w:w="1041" w:type="dxa"/>
                  <w:shd w:val="clear" w:color="auto" w:fill="auto"/>
                </w:tcPr>
                <w:p w14:paraId="0DB6FF59" w14:textId="77777777" w:rsidR="00F06DDF" w:rsidRPr="0086662A" w:rsidRDefault="00F06DDF" w:rsidP="00A80F49">
                  <w:pPr>
                    <w:spacing w:before="100" w:beforeAutospacing="1" w:after="100" w:afterAutospacing="1"/>
                    <w:jc w:val="center"/>
                    <w:rPr>
                      <w:b/>
                    </w:rPr>
                  </w:pPr>
                  <w:r w:rsidRPr="0086662A">
                    <w:rPr>
                      <w:b/>
                    </w:rPr>
                    <w:t>10</w:t>
                  </w:r>
                </w:p>
                <w:p w14:paraId="406EBFB1" w14:textId="77777777" w:rsidR="00F06DDF" w:rsidRPr="0086662A" w:rsidRDefault="00F06DDF" w:rsidP="00A80F49">
                  <w:pPr>
                    <w:spacing w:before="100" w:beforeAutospacing="1" w:after="100" w:afterAutospacing="1"/>
                    <w:jc w:val="center"/>
                  </w:pPr>
                </w:p>
              </w:tc>
              <w:tc>
                <w:tcPr>
                  <w:tcW w:w="8040" w:type="dxa"/>
                  <w:shd w:val="clear" w:color="auto" w:fill="auto"/>
                </w:tcPr>
                <w:p w14:paraId="25059493" w14:textId="2DB970E9" w:rsidR="00F06DDF" w:rsidRPr="0086662A" w:rsidRDefault="00F06DDF" w:rsidP="00A80F49">
                  <w:r w:rsidRPr="0086662A">
                    <w:t>Working with youth, families and affected loved ones; evaluating outcomes and effectiveness; discussion of research and evidence base; critical evaluation from a cultural humility standpoint; skills practice.</w:t>
                  </w:r>
                </w:p>
              </w:tc>
            </w:tr>
            <w:tr w:rsidR="00F06DDF" w:rsidRPr="0086662A" w14:paraId="3D17FC74" w14:textId="77777777" w:rsidTr="00F06DDF">
              <w:trPr>
                <w:trHeight w:val="980"/>
              </w:trPr>
              <w:tc>
                <w:tcPr>
                  <w:tcW w:w="1041" w:type="dxa"/>
                  <w:shd w:val="clear" w:color="auto" w:fill="auto"/>
                </w:tcPr>
                <w:p w14:paraId="3D322B33" w14:textId="77777777" w:rsidR="00F06DDF" w:rsidRPr="0086662A" w:rsidRDefault="00F06DDF" w:rsidP="00A80F49">
                  <w:pPr>
                    <w:spacing w:before="100" w:beforeAutospacing="1" w:after="100" w:afterAutospacing="1"/>
                    <w:jc w:val="center"/>
                    <w:rPr>
                      <w:b/>
                      <w:bCs/>
                    </w:rPr>
                  </w:pPr>
                  <w:r w:rsidRPr="0086662A">
                    <w:rPr>
                      <w:b/>
                      <w:bCs/>
                    </w:rPr>
                    <w:t xml:space="preserve">11  </w:t>
                  </w:r>
                </w:p>
                <w:p w14:paraId="48B019EB" w14:textId="77777777" w:rsidR="00F06DDF" w:rsidRPr="0086662A" w:rsidRDefault="00F06DDF" w:rsidP="00A80F49">
                  <w:pPr>
                    <w:spacing w:before="100" w:beforeAutospacing="1" w:after="100" w:afterAutospacing="1"/>
                  </w:pPr>
                </w:p>
              </w:tc>
              <w:tc>
                <w:tcPr>
                  <w:tcW w:w="8040" w:type="dxa"/>
                  <w:shd w:val="clear" w:color="auto" w:fill="auto"/>
                </w:tcPr>
                <w:p w14:paraId="02FCF38C" w14:textId="26B0D443" w:rsidR="00F06DDF" w:rsidRPr="0086662A" w:rsidRDefault="00F06DDF" w:rsidP="009D191B">
                  <w:r w:rsidRPr="0086662A">
                    <w:t xml:space="preserve">Models of recovery; Individualized treatment planning; Peer support Topics: Evidence based treatment models; Harm reduction vs. moderation management; protecting therapeutic alliance; Peer support models </w:t>
                  </w:r>
                </w:p>
              </w:tc>
            </w:tr>
            <w:tr w:rsidR="00F06DDF" w:rsidRPr="0086662A" w14:paraId="10C49E4C" w14:textId="77777777" w:rsidTr="00F06DDF">
              <w:tblPrEx>
                <w:tblLook w:val="04A0" w:firstRow="1" w:lastRow="0" w:firstColumn="1" w:lastColumn="0" w:noHBand="0" w:noVBand="1"/>
              </w:tblPrEx>
              <w:trPr>
                <w:trHeight w:val="1511"/>
              </w:trPr>
              <w:tc>
                <w:tcPr>
                  <w:tcW w:w="1041" w:type="dxa"/>
                  <w:shd w:val="clear" w:color="auto" w:fill="auto"/>
                </w:tcPr>
                <w:p w14:paraId="053E8F20" w14:textId="74895728" w:rsidR="00F06DDF" w:rsidRPr="0086662A" w:rsidRDefault="00F06DDF" w:rsidP="00A80F49">
                  <w:pPr>
                    <w:spacing w:before="100" w:beforeAutospacing="1" w:after="100" w:afterAutospacing="1"/>
                    <w:jc w:val="center"/>
                    <w:rPr>
                      <w:b/>
                    </w:rPr>
                  </w:pPr>
                  <w:r w:rsidRPr="0086662A">
                    <w:rPr>
                      <w:b/>
                    </w:rPr>
                    <w:lastRenderedPageBreak/>
                    <w:t>12</w:t>
                  </w:r>
                </w:p>
                <w:p w14:paraId="4C056031" w14:textId="77777777" w:rsidR="00F06DDF" w:rsidRPr="0086662A" w:rsidRDefault="00F06DDF" w:rsidP="00A80F49">
                  <w:pPr>
                    <w:spacing w:before="100" w:beforeAutospacing="1" w:after="100" w:afterAutospacing="1"/>
                    <w:jc w:val="center"/>
                  </w:pPr>
                </w:p>
              </w:tc>
              <w:tc>
                <w:tcPr>
                  <w:tcW w:w="8040" w:type="dxa"/>
                  <w:tcBorders>
                    <w:bottom w:val="single" w:sz="4" w:space="0" w:color="auto"/>
                  </w:tcBorders>
                  <w:shd w:val="clear" w:color="auto" w:fill="auto"/>
                </w:tcPr>
                <w:p w14:paraId="3D090B18" w14:textId="08A83EB0" w:rsidR="00F06DDF" w:rsidRPr="0086662A" w:rsidRDefault="00F06DDF" w:rsidP="00F06DDF">
                  <w:pPr>
                    <w:pStyle w:val="NoSpacing"/>
                  </w:pPr>
                  <w:r w:rsidRPr="0086662A">
                    <w:t>Burnout: Addressing ways to reduce burnout in the addiction counseling workforce.</w:t>
                  </w:r>
                </w:p>
                <w:p w14:paraId="3979A879" w14:textId="77777777" w:rsidR="00F06DDF" w:rsidRPr="0086662A" w:rsidRDefault="00F06DDF" w:rsidP="00F06DDF">
                  <w:pPr>
                    <w:pStyle w:val="NoSpacing"/>
                    <w:rPr>
                      <w:rStyle w:val="WP9Hyperlin"/>
                      <w:color w:val="auto"/>
                      <w:u w:val="none"/>
                    </w:rPr>
                  </w:pPr>
                </w:p>
                <w:p w14:paraId="58640946" w14:textId="712A2CEF" w:rsidR="00F06DDF" w:rsidRPr="0086662A" w:rsidRDefault="00F06DDF" w:rsidP="009D191B">
                  <w:pPr>
                    <w:spacing w:after="160" w:line="259" w:lineRule="auto"/>
                    <w:rPr>
                      <w:rStyle w:val="WP9Hyperlin"/>
                      <w:color w:val="222222"/>
                      <w:shd w:val="clear" w:color="auto" w:fill="FFFFFF"/>
                    </w:rPr>
                  </w:pPr>
                </w:p>
              </w:tc>
            </w:tr>
          </w:tbl>
          <w:p w14:paraId="0AB31323" w14:textId="459A159E" w:rsidR="00C629CB" w:rsidRPr="002D593E" w:rsidRDefault="00C629CB" w:rsidP="009D191B">
            <w:pPr>
              <w:pStyle w:val="ListParagraph"/>
              <w:spacing w:line="240" w:lineRule="auto"/>
              <w:ind w:left="0"/>
              <w:rPr>
                <w:rFonts w:asciiTheme="minorHAnsi" w:hAnsiTheme="minorHAnsi"/>
              </w:rPr>
            </w:pPr>
          </w:p>
        </w:tc>
      </w:tr>
    </w:tbl>
    <w:p w14:paraId="62234A1C" w14:textId="77777777" w:rsidR="00F64260" w:rsidRDefault="00F64260">
      <w:pPr>
        <w:spacing w:line="240" w:lineRule="auto"/>
      </w:pPr>
    </w:p>
    <w:p w14:paraId="2480EEC2" w14:textId="17F4B33C" w:rsidR="00F64260" w:rsidRDefault="006D6DA8" w:rsidP="006D6DA8">
      <w:pPr>
        <w:pStyle w:val="Heading3"/>
        <w:keepNext/>
        <w:jc w:val="left"/>
      </w:pPr>
      <w:r>
        <w:t xml:space="preserve"> </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w:t>
            </w:r>
            <w:proofErr w:type="gramStart"/>
            <w:r w:rsidRPr="000357A5">
              <w:t>catalog, and</w:t>
            </w:r>
            <w:proofErr w:type="gramEnd"/>
            <w:r w:rsidRPr="000357A5">
              <w:t xml:space="preserve">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77777777" w:rsidR="00F64260" w:rsidRDefault="00F64260" w:rsidP="00293639">
            <w:pPr>
              <w:spacing w:line="240" w:lineRule="auto"/>
            </w:pPr>
          </w:p>
        </w:tc>
        <w:tc>
          <w:tcPr>
            <w:tcW w:w="3279" w:type="dxa"/>
            <w:vAlign w:val="center"/>
          </w:tcPr>
          <w:p w14:paraId="3874B8F9" w14:textId="79C70D93" w:rsidR="00F64260" w:rsidRDefault="00ED10F6" w:rsidP="00293639">
            <w:pPr>
              <w:spacing w:line="240" w:lineRule="auto"/>
            </w:pPr>
            <w:r>
              <w:t xml:space="preserve">Program Director of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77777777" w:rsidR="00F64260" w:rsidRDefault="00F64260" w:rsidP="00293639">
            <w:pPr>
              <w:spacing w:line="240" w:lineRule="auto"/>
            </w:pPr>
          </w:p>
        </w:tc>
        <w:tc>
          <w:tcPr>
            <w:tcW w:w="3279" w:type="dxa"/>
            <w:vAlign w:val="center"/>
          </w:tcPr>
          <w:p w14:paraId="46637261" w14:textId="1D61E5F3" w:rsidR="00F64260" w:rsidRDefault="00ED10F6" w:rsidP="00293639">
            <w:pPr>
              <w:spacing w:line="240" w:lineRule="auto"/>
            </w:pPr>
            <w:r>
              <w:t xml:space="preserve">Chair of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77777777" w:rsidR="00F64260" w:rsidRDefault="00F64260" w:rsidP="00293639">
            <w:pPr>
              <w:spacing w:line="240" w:lineRule="auto"/>
            </w:pPr>
          </w:p>
        </w:tc>
        <w:tc>
          <w:tcPr>
            <w:tcW w:w="3279" w:type="dxa"/>
            <w:vAlign w:val="center"/>
          </w:tcPr>
          <w:p w14:paraId="25000859" w14:textId="4FBF5259" w:rsidR="00F64260" w:rsidRDefault="00ED10F6" w:rsidP="00293639">
            <w:pPr>
              <w:spacing w:line="240" w:lineRule="auto"/>
            </w:pPr>
            <w:r>
              <w:t xml:space="preserve">Dean of </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9AE06E7" w:rsidR="00F64260" w:rsidRDefault="00F64260" w:rsidP="00293639">
            <w:pPr>
              <w:spacing w:line="240" w:lineRule="auto"/>
            </w:pPr>
            <w:r>
              <w:t>Tab to add rows</w:t>
            </w: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2"/>
        <w:gridCol w:w="3252"/>
        <w:gridCol w:w="3189"/>
        <w:gridCol w:w="1177"/>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B55707"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6F78A0DB" w:rsidR="00F64260" w:rsidRDefault="00661377" w:rsidP="00120C12">
            <w:pPr>
              <w:spacing w:line="240" w:lineRule="auto"/>
            </w:pPr>
            <w:r>
              <w:t>Dr. Monica Darcy</w:t>
            </w:r>
          </w:p>
        </w:tc>
        <w:tc>
          <w:tcPr>
            <w:tcW w:w="3279" w:type="dxa"/>
            <w:vAlign w:val="center"/>
          </w:tcPr>
          <w:p w14:paraId="78649D71" w14:textId="5F5E871E" w:rsidR="00F64260" w:rsidRDefault="00661377" w:rsidP="00120C12">
            <w:pPr>
              <w:spacing w:line="240" w:lineRule="auto"/>
            </w:pPr>
            <w:r>
              <w:t>Co-Chair CEP program</w:t>
            </w: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075B6026" w:rsidR="00F64260" w:rsidRDefault="00661377" w:rsidP="00120C12">
            <w:pPr>
              <w:spacing w:line="240" w:lineRule="auto"/>
            </w:pPr>
            <w:r>
              <w:t>2/1/2020</w:t>
            </w: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738DA" w14:textId="77777777" w:rsidR="00B55707" w:rsidRDefault="00B55707" w:rsidP="00FA78CA">
      <w:pPr>
        <w:spacing w:line="240" w:lineRule="auto"/>
      </w:pPr>
      <w:r>
        <w:separator/>
      </w:r>
    </w:p>
  </w:endnote>
  <w:endnote w:type="continuationSeparator" w:id="0">
    <w:p w14:paraId="7F76D34B" w14:textId="77777777" w:rsidR="00B55707" w:rsidRDefault="00B5570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AA07" w14:textId="77777777" w:rsidR="008A4692" w:rsidRDefault="008A4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B7D0" w14:textId="6129346B"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554029">
      <w:rPr>
        <w:b/>
        <w:bCs/>
        <w:noProof/>
        <w:sz w:val="20"/>
      </w:rPr>
      <w:t>7</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554029">
      <w:rPr>
        <w:b/>
        <w:bCs/>
        <w:noProof/>
        <w:sz w:val="20"/>
      </w:rPr>
      <w:t>7</w:t>
    </w:r>
    <w:r w:rsidR="005E752D"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1966" w14:textId="77777777" w:rsidR="008A4692" w:rsidRDefault="008A4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A6397" w14:textId="77777777" w:rsidR="00B55707" w:rsidRDefault="00B55707" w:rsidP="00FA78CA">
      <w:pPr>
        <w:spacing w:line="240" w:lineRule="auto"/>
      </w:pPr>
      <w:r>
        <w:separator/>
      </w:r>
    </w:p>
  </w:footnote>
  <w:footnote w:type="continuationSeparator" w:id="0">
    <w:p w14:paraId="182A2B10" w14:textId="77777777" w:rsidR="00B55707" w:rsidRDefault="00B5570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6C1E" w14:textId="77777777" w:rsidR="008A4692" w:rsidRDefault="008A4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7FE7" w14:textId="77777777" w:rsidR="003D3302"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3D3302">
      <w:rPr>
        <w:color w:val="4F6228"/>
      </w:rPr>
      <w:t>1920_38 SWRK 655 New course</w:t>
    </w:r>
    <w:r w:rsidR="003D3302">
      <w:rPr>
        <w:color w:val="4F6228"/>
      </w:rPr>
      <w:tab/>
    </w:r>
  </w:p>
  <w:p w14:paraId="44CC6DED" w14:textId="4E6698E2" w:rsidR="005E752D" w:rsidRPr="004254A0" w:rsidRDefault="003D3302"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Date Received:</w:t>
    </w:r>
    <w:r>
      <w:rPr>
        <w:color w:val="4F6228"/>
      </w:rPr>
      <w:tab/>
      <w:t>1/21/2020</w:t>
    </w:r>
    <w:r w:rsidR="005E752D" w:rsidRPr="004254A0">
      <w:rPr>
        <w:color w:val="4F6228"/>
      </w:rPr>
      <w:tab/>
    </w:r>
    <w:r w:rsidR="005E752D" w:rsidRPr="004254A0">
      <w:rPr>
        <w:color w:val="4F6228"/>
      </w:rPr>
      <w:tab/>
    </w:r>
    <w:r w:rsidR="005E752D" w:rsidRPr="004254A0">
      <w:rPr>
        <w:color w:val="4F6228"/>
      </w:rPr>
      <w:tab/>
    </w:r>
    <w:r w:rsidR="005E752D" w:rsidRPr="004254A0">
      <w:rPr>
        <w:color w:val="4F6228"/>
      </w:rPr>
      <w:tab/>
    </w:r>
    <w:r w:rsidR="005E752D" w:rsidRPr="004254A0">
      <w:rPr>
        <w:color w:val="4F6228"/>
      </w:rPr>
      <w:tab/>
    </w:r>
    <w:r w:rsidR="005E752D" w:rsidRPr="004254A0">
      <w:rPr>
        <w:color w:val="4F6228"/>
      </w:rPr>
      <w:tab/>
    </w:r>
    <w:r w:rsidR="005E752D" w:rsidRPr="004254A0">
      <w:rPr>
        <w:color w:val="4F6228"/>
      </w:rPr>
      <w:tab/>
    </w:r>
    <w:r w:rsidR="005E752D" w:rsidRPr="004254A0">
      <w:rPr>
        <w:color w:val="4F6228"/>
      </w:rPr>
      <w:tab/>
    </w:r>
    <w:r w:rsidR="005E752D" w:rsidRPr="004254A0">
      <w:rPr>
        <w:color w:val="4F6228"/>
      </w:rPr>
      <w:tab/>
    </w:r>
    <w:r w:rsidR="005E752D" w:rsidRPr="004254A0">
      <w:rPr>
        <w:color w:val="4F6228"/>
      </w:rPr>
      <w:tab/>
    </w:r>
    <w:r w:rsidR="005E752D"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A45D" w14:textId="77777777" w:rsidR="008A4692" w:rsidRDefault="008A4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5D2D"/>
    <w:multiLevelType w:val="hybridMultilevel"/>
    <w:tmpl w:val="92E03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F60A3"/>
    <w:multiLevelType w:val="hybridMultilevel"/>
    <w:tmpl w:val="486241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A07A8"/>
    <w:multiLevelType w:val="hybridMultilevel"/>
    <w:tmpl w:val="386E2B28"/>
    <w:lvl w:ilvl="0" w:tplc="E8F23A3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934F90"/>
    <w:multiLevelType w:val="hybridMultilevel"/>
    <w:tmpl w:val="169E0B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C1B35"/>
    <w:multiLevelType w:val="hybridMultilevel"/>
    <w:tmpl w:val="461E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94A57"/>
    <w:multiLevelType w:val="hybridMultilevel"/>
    <w:tmpl w:val="22A0D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2A08C1"/>
    <w:multiLevelType w:val="hybridMultilevel"/>
    <w:tmpl w:val="56BE2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17C36"/>
    <w:multiLevelType w:val="hybridMultilevel"/>
    <w:tmpl w:val="6AB4DA2E"/>
    <w:lvl w:ilvl="0" w:tplc="B3B4B6A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1835C4"/>
    <w:multiLevelType w:val="hybridMultilevel"/>
    <w:tmpl w:val="D810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27FEB"/>
    <w:multiLevelType w:val="hybridMultilevel"/>
    <w:tmpl w:val="97A29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9030AC"/>
    <w:multiLevelType w:val="hybridMultilevel"/>
    <w:tmpl w:val="92E03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519CE"/>
    <w:multiLevelType w:val="hybridMultilevel"/>
    <w:tmpl w:val="51D8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F7CE1"/>
    <w:multiLevelType w:val="hybridMultilevel"/>
    <w:tmpl w:val="814823A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07C0D42"/>
    <w:multiLevelType w:val="hybridMultilevel"/>
    <w:tmpl w:val="47D65E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5"/>
  </w:num>
  <w:num w:numId="3">
    <w:abstractNumId w:val="11"/>
  </w:num>
  <w:num w:numId="4">
    <w:abstractNumId w:val="3"/>
  </w:num>
  <w:num w:numId="5">
    <w:abstractNumId w:val="7"/>
  </w:num>
  <w:num w:numId="6">
    <w:abstractNumId w:val="19"/>
  </w:num>
  <w:num w:numId="7">
    <w:abstractNumId w:val="4"/>
  </w:num>
  <w:num w:numId="8">
    <w:abstractNumId w:val="10"/>
  </w:num>
  <w:num w:numId="9">
    <w:abstractNumId w:val="13"/>
  </w:num>
  <w:num w:numId="10">
    <w:abstractNumId w:val="6"/>
  </w:num>
  <w:num w:numId="11">
    <w:abstractNumId w:val="24"/>
  </w:num>
  <w:num w:numId="12">
    <w:abstractNumId w:val="1"/>
  </w:num>
  <w:num w:numId="13">
    <w:abstractNumId w:val="17"/>
  </w:num>
  <w:num w:numId="14">
    <w:abstractNumId w:val="16"/>
  </w:num>
  <w:num w:numId="15">
    <w:abstractNumId w:val="2"/>
  </w:num>
  <w:num w:numId="16">
    <w:abstractNumId w:val="20"/>
  </w:num>
  <w:num w:numId="17">
    <w:abstractNumId w:val="12"/>
  </w:num>
  <w:num w:numId="18">
    <w:abstractNumId w:val="15"/>
  </w:num>
  <w:num w:numId="19">
    <w:abstractNumId w:val="22"/>
  </w:num>
  <w:num w:numId="20">
    <w:abstractNumId w:val="8"/>
  </w:num>
  <w:num w:numId="21">
    <w:abstractNumId w:val="0"/>
  </w:num>
  <w:num w:numId="22">
    <w:abstractNumId w:val="23"/>
  </w:num>
  <w:num w:numId="23">
    <w:abstractNumId w:val="9"/>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84B15"/>
    <w:rsid w:val="000A36CD"/>
    <w:rsid w:val="000A72E5"/>
    <w:rsid w:val="000B0565"/>
    <w:rsid w:val="000D1497"/>
    <w:rsid w:val="000D21F2"/>
    <w:rsid w:val="000D5929"/>
    <w:rsid w:val="000E2CBA"/>
    <w:rsid w:val="000F742E"/>
    <w:rsid w:val="001010FA"/>
    <w:rsid w:val="00101BA4"/>
    <w:rsid w:val="0011690A"/>
    <w:rsid w:val="00120C12"/>
    <w:rsid w:val="001278A4"/>
    <w:rsid w:val="001304E5"/>
    <w:rsid w:val="0013176C"/>
    <w:rsid w:val="00131B87"/>
    <w:rsid w:val="001429AA"/>
    <w:rsid w:val="001471E4"/>
    <w:rsid w:val="00157C9D"/>
    <w:rsid w:val="00172B61"/>
    <w:rsid w:val="00176636"/>
    <w:rsid w:val="00176C55"/>
    <w:rsid w:val="00181A4B"/>
    <w:rsid w:val="001A37FB"/>
    <w:rsid w:val="001A51ED"/>
    <w:rsid w:val="001B2E3A"/>
    <w:rsid w:val="001B475E"/>
    <w:rsid w:val="001F351F"/>
    <w:rsid w:val="0020058E"/>
    <w:rsid w:val="0021587D"/>
    <w:rsid w:val="00237355"/>
    <w:rsid w:val="00240259"/>
    <w:rsid w:val="0026461B"/>
    <w:rsid w:val="0027634D"/>
    <w:rsid w:val="00284473"/>
    <w:rsid w:val="002850DD"/>
    <w:rsid w:val="00290E18"/>
    <w:rsid w:val="00292D43"/>
    <w:rsid w:val="00293639"/>
    <w:rsid w:val="00296BA1"/>
    <w:rsid w:val="00296E82"/>
    <w:rsid w:val="0029768B"/>
    <w:rsid w:val="002A3788"/>
    <w:rsid w:val="002B1EEA"/>
    <w:rsid w:val="002B1FF7"/>
    <w:rsid w:val="002B24F6"/>
    <w:rsid w:val="002B6233"/>
    <w:rsid w:val="002B7880"/>
    <w:rsid w:val="002C3D63"/>
    <w:rsid w:val="002D02BC"/>
    <w:rsid w:val="002D4773"/>
    <w:rsid w:val="002D49F8"/>
    <w:rsid w:val="002D593E"/>
    <w:rsid w:val="002E6AEB"/>
    <w:rsid w:val="00310D95"/>
    <w:rsid w:val="00334441"/>
    <w:rsid w:val="00345149"/>
    <w:rsid w:val="00361C61"/>
    <w:rsid w:val="00376A8B"/>
    <w:rsid w:val="003A45F6"/>
    <w:rsid w:val="003B2F7F"/>
    <w:rsid w:val="003B4A52"/>
    <w:rsid w:val="003C1A54"/>
    <w:rsid w:val="003C3E00"/>
    <w:rsid w:val="003C511E"/>
    <w:rsid w:val="003D3302"/>
    <w:rsid w:val="003D7372"/>
    <w:rsid w:val="003F099C"/>
    <w:rsid w:val="003F4E82"/>
    <w:rsid w:val="004016AB"/>
    <w:rsid w:val="00402602"/>
    <w:rsid w:val="00406318"/>
    <w:rsid w:val="004254A0"/>
    <w:rsid w:val="004313E6"/>
    <w:rsid w:val="004403BD"/>
    <w:rsid w:val="00442EEA"/>
    <w:rsid w:val="004779B4"/>
    <w:rsid w:val="00482982"/>
    <w:rsid w:val="0048308F"/>
    <w:rsid w:val="004932BC"/>
    <w:rsid w:val="004B1512"/>
    <w:rsid w:val="004E57C5"/>
    <w:rsid w:val="004F6658"/>
    <w:rsid w:val="00510E78"/>
    <w:rsid w:val="005169EE"/>
    <w:rsid w:val="005174B4"/>
    <w:rsid w:val="005473BC"/>
    <w:rsid w:val="00554029"/>
    <w:rsid w:val="0055490A"/>
    <w:rsid w:val="0055742F"/>
    <w:rsid w:val="00572D40"/>
    <w:rsid w:val="005873E3"/>
    <w:rsid w:val="00587DC6"/>
    <w:rsid w:val="005C23BD"/>
    <w:rsid w:val="005C37AA"/>
    <w:rsid w:val="005C3F83"/>
    <w:rsid w:val="005C7C5B"/>
    <w:rsid w:val="005D389E"/>
    <w:rsid w:val="005E752D"/>
    <w:rsid w:val="005F2A05"/>
    <w:rsid w:val="0060382D"/>
    <w:rsid w:val="00661377"/>
    <w:rsid w:val="00663C1F"/>
    <w:rsid w:val="00670869"/>
    <w:rsid w:val="006761E1"/>
    <w:rsid w:val="00683AEB"/>
    <w:rsid w:val="0069686C"/>
    <w:rsid w:val="006970B0"/>
    <w:rsid w:val="006D047E"/>
    <w:rsid w:val="006D6DA8"/>
    <w:rsid w:val="006E3AF2"/>
    <w:rsid w:val="006E6680"/>
    <w:rsid w:val="006E6CF1"/>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6662A"/>
    <w:rsid w:val="00872775"/>
    <w:rsid w:val="008745BA"/>
    <w:rsid w:val="008847FE"/>
    <w:rsid w:val="00890CFD"/>
    <w:rsid w:val="0089234B"/>
    <w:rsid w:val="008927AF"/>
    <w:rsid w:val="0089400B"/>
    <w:rsid w:val="00896897"/>
    <w:rsid w:val="008A4692"/>
    <w:rsid w:val="008A5FCC"/>
    <w:rsid w:val="008B1F84"/>
    <w:rsid w:val="008E0FCD"/>
    <w:rsid w:val="008E3EFA"/>
    <w:rsid w:val="008E48E4"/>
    <w:rsid w:val="008F0AFB"/>
    <w:rsid w:val="00905E67"/>
    <w:rsid w:val="009262CD"/>
    <w:rsid w:val="00932B72"/>
    <w:rsid w:val="009357E5"/>
    <w:rsid w:val="00936421"/>
    <w:rsid w:val="009367B9"/>
    <w:rsid w:val="009458D2"/>
    <w:rsid w:val="00946B20"/>
    <w:rsid w:val="009545B6"/>
    <w:rsid w:val="00962121"/>
    <w:rsid w:val="0098046D"/>
    <w:rsid w:val="00981818"/>
    <w:rsid w:val="00992E1C"/>
    <w:rsid w:val="00995D8F"/>
    <w:rsid w:val="009A05F7"/>
    <w:rsid w:val="009A4E6F"/>
    <w:rsid w:val="009A58C1"/>
    <w:rsid w:val="009B17A1"/>
    <w:rsid w:val="009B2EFA"/>
    <w:rsid w:val="009B7AAF"/>
    <w:rsid w:val="009C1440"/>
    <w:rsid w:val="009D191B"/>
    <w:rsid w:val="009D301F"/>
    <w:rsid w:val="009F029C"/>
    <w:rsid w:val="009F2F3E"/>
    <w:rsid w:val="00A01611"/>
    <w:rsid w:val="00A04A92"/>
    <w:rsid w:val="00A06E22"/>
    <w:rsid w:val="00A11DCD"/>
    <w:rsid w:val="00A25AF3"/>
    <w:rsid w:val="00A32214"/>
    <w:rsid w:val="00A367CE"/>
    <w:rsid w:val="00A442D7"/>
    <w:rsid w:val="00A54783"/>
    <w:rsid w:val="00A5525B"/>
    <w:rsid w:val="00A56D5F"/>
    <w:rsid w:val="00A6264E"/>
    <w:rsid w:val="00A76B76"/>
    <w:rsid w:val="00A80F49"/>
    <w:rsid w:val="00A836FF"/>
    <w:rsid w:val="00A83A6C"/>
    <w:rsid w:val="00A8451E"/>
    <w:rsid w:val="00A85BAB"/>
    <w:rsid w:val="00A87611"/>
    <w:rsid w:val="00A90A26"/>
    <w:rsid w:val="00A94B5A"/>
    <w:rsid w:val="00AB074E"/>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55707"/>
    <w:rsid w:val="00B605CE"/>
    <w:rsid w:val="00B649C4"/>
    <w:rsid w:val="00B82B64"/>
    <w:rsid w:val="00B84C59"/>
    <w:rsid w:val="00B862BF"/>
    <w:rsid w:val="00B87B39"/>
    <w:rsid w:val="00BB11B9"/>
    <w:rsid w:val="00BB165D"/>
    <w:rsid w:val="00BC42B6"/>
    <w:rsid w:val="00BC42EB"/>
    <w:rsid w:val="00BD40C6"/>
    <w:rsid w:val="00BF1795"/>
    <w:rsid w:val="00BF1A78"/>
    <w:rsid w:val="00C0654C"/>
    <w:rsid w:val="00C11283"/>
    <w:rsid w:val="00C21405"/>
    <w:rsid w:val="00C25F9D"/>
    <w:rsid w:val="00C31E83"/>
    <w:rsid w:val="00C518C1"/>
    <w:rsid w:val="00C53751"/>
    <w:rsid w:val="00C629CB"/>
    <w:rsid w:val="00C63F4F"/>
    <w:rsid w:val="00C6480C"/>
    <w:rsid w:val="00C94576"/>
    <w:rsid w:val="00C969FA"/>
    <w:rsid w:val="00C97577"/>
    <w:rsid w:val="00CA71A8"/>
    <w:rsid w:val="00CB0DBB"/>
    <w:rsid w:val="00CB4CB9"/>
    <w:rsid w:val="00CC3E7A"/>
    <w:rsid w:val="00CC7EEE"/>
    <w:rsid w:val="00CD18DD"/>
    <w:rsid w:val="00D50FE1"/>
    <w:rsid w:val="00D56C09"/>
    <w:rsid w:val="00D64DF4"/>
    <w:rsid w:val="00D65A71"/>
    <w:rsid w:val="00D65F02"/>
    <w:rsid w:val="00D75FF8"/>
    <w:rsid w:val="00DA73A0"/>
    <w:rsid w:val="00DB23D4"/>
    <w:rsid w:val="00DB63D4"/>
    <w:rsid w:val="00DC48D6"/>
    <w:rsid w:val="00DD69AE"/>
    <w:rsid w:val="00DE2B7A"/>
    <w:rsid w:val="00DF06F0"/>
    <w:rsid w:val="00DF4FCD"/>
    <w:rsid w:val="00DF535D"/>
    <w:rsid w:val="00DF7C07"/>
    <w:rsid w:val="00E36AF7"/>
    <w:rsid w:val="00E4755D"/>
    <w:rsid w:val="00E47897"/>
    <w:rsid w:val="00E521CF"/>
    <w:rsid w:val="00E641DE"/>
    <w:rsid w:val="00E93A54"/>
    <w:rsid w:val="00E94DA5"/>
    <w:rsid w:val="00EB33FD"/>
    <w:rsid w:val="00EC63A4"/>
    <w:rsid w:val="00EC7B24"/>
    <w:rsid w:val="00ED10F6"/>
    <w:rsid w:val="00ED1712"/>
    <w:rsid w:val="00ED1BF0"/>
    <w:rsid w:val="00EF3B20"/>
    <w:rsid w:val="00F06DDF"/>
    <w:rsid w:val="00F113DB"/>
    <w:rsid w:val="00F15B95"/>
    <w:rsid w:val="00F32980"/>
    <w:rsid w:val="00F40D31"/>
    <w:rsid w:val="00F56CE6"/>
    <w:rsid w:val="00F64260"/>
    <w:rsid w:val="00F871BA"/>
    <w:rsid w:val="00FA6359"/>
    <w:rsid w:val="00FA6998"/>
    <w:rsid w:val="00FA72E0"/>
    <w:rsid w:val="00FA769F"/>
    <w:rsid w:val="00FA78CA"/>
    <w:rsid w:val="00FF3E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69521"/>
  <w15:docId w15:val="{EC80B083-9685-41D8-BEB2-450EAF71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20"/>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WP9Hyperlin">
    <w:name w:val="WP9_Hyperlin"/>
    <w:rsid w:val="00A80F49"/>
    <w:rPr>
      <w:color w:val="0000FF"/>
      <w:u w:val="single"/>
    </w:rPr>
  </w:style>
  <w:style w:type="character" w:customStyle="1" w:styleId="authors">
    <w:name w:val="authors"/>
    <w:basedOn w:val="DefaultParagraphFont"/>
    <w:rsid w:val="00A80F49"/>
  </w:style>
  <w:style w:type="character" w:customStyle="1" w:styleId="Date1">
    <w:name w:val="Date1"/>
    <w:basedOn w:val="DefaultParagraphFont"/>
    <w:rsid w:val="00A80F49"/>
  </w:style>
  <w:style w:type="character" w:customStyle="1" w:styleId="arttitle">
    <w:name w:val="art_title"/>
    <w:basedOn w:val="DefaultParagraphFont"/>
    <w:rsid w:val="00A80F49"/>
  </w:style>
  <w:style w:type="character" w:customStyle="1" w:styleId="serialtitle">
    <w:name w:val="serial_title"/>
    <w:basedOn w:val="DefaultParagraphFont"/>
    <w:rsid w:val="00A80F49"/>
  </w:style>
  <w:style w:type="character" w:customStyle="1" w:styleId="volumeissue">
    <w:name w:val="volume_issue"/>
    <w:basedOn w:val="DefaultParagraphFont"/>
    <w:rsid w:val="00A80F49"/>
  </w:style>
  <w:style w:type="character" w:customStyle="1" w:styleId="pagerange">
    <w:name w:val="page_range"/>
    <w:basedOn w:val="DefaultParagraphFont"/>
    <w:rsid w:val="00A80F49"/>
  </w:style>
  <w:style w:type="character" w:customStyle="1" w:styleId="Date2">
    <w:name w:val="Date2"/>
    <w:basedOn w:val="DefaultParagraphFont"/>
    <w:rsid w:val="00A80F49"/>
  </w:style>
  <w:style w:type="character" w:customStyle="1" w:styleId="Title1">
    <w:name w:val="Title1"/>
    <w:basedOn w:val="DefaultParagraphFont"/>
    <w:rsid w:val="00A80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67Z3ZXSPZZWZ-954-216</_dlc_DocId>
    <_dlc_DocIdUrl xmlns="67887a43-7e4d-4c1c-91d7-15e417b1b8ab">
      <Url>https://w3.ric.edu/graduate_committee/_layouts/15/DocIdRedir.aspx?ID=67Z3ZXSPZZWZ-954-216</Url>
      <Description>67Z3ZXSPZZWZ-954-216</Description>
    </_dlc_DocIdUrl>
  </documentManagement>
</p:properties>
</file>

<file path=customXml/itemProps1.xml><?xml version="1.0" encoding="utf-8"?>
<ds:datastoreItem xmlns:ds="http://schemas.openxmlformats.org/officeDocument/2006/customXml" ds:itemID="{5D226180-49CB-40EF-B67B-07204D74BBB3}"/>
</file>

<file path=customXml/itemProps2.xml><?xml version="1.0" encoding="utf-8"?>
<ds:datastoreItem xmlns:ds="http://schemas.openxmlformats.org/officeDocument/2006/customXml" ds:itemID="{736C6A87-8F9F-42AF-9F22-4375127D3AFD}"/>
</file>

<file path=customXml/itemProps3.xml><?xml version="1.0" encoding="utf-8"?>
<ds:datastoreItem xmlns:ds="http://schemas.openxmlformats.org/officeDocument/2006/customXml" ds:itemID="{0EA292C6-2542-4DE1-BC0D-B2562843AFC9}"/>
</file>

<file path=customXml/itemProps4.xml><?xml version="1.0" encoding="utf-8"?>
<ds:datastoreItem xmlns:ds="http://schemas.openxmlformats.org/officeDocument/2006/customXml" ds:itemID="{E7DA50B0-4C68-4AC1-96A5-DBF27801A833}"/>
</file>

<file path=docProps/app.xml><?xml version="1.0" encoding="utf-8"?>
<Properties xmlns="http://schemas.openxmlformats.org/officeDocument/2006/extended-properties" xmlns:vt="http://schemas.openxmlformats.org/officeDocument/2006/docPropsVTypes">
  <Template>Normal</Template>
  <TotalTime>1</TotalTime>
  <Pages>7</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Nimmagadda, Jayashree</cp:lastModifiedBy>
  <cp:revision>2</cp:revision>
  <cp:lastPrinted>2020-02-13T18:32:00Z</cp:lastPrinted>
  <dcterms:created xsi:type="dcterms:W3CDTF">2020-02-15T21:13:00Z</dcterms:created>
  <dcterms:modified xsi:type="dcterms:W3CDTF">2020-02-15T21:13:00Z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6c9811cf-3612-4062-9aed-7c78230cb103</vt:lpwstr>
  </property>
</Properties>
</file>