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578D111" w:rsidR="00F64260" w:rsidRPr="00A83A6C" w:rsidRDefault="001148B3" w:rsidP="00B862BF">
            <w:pPr>
              <w:pStyle w:val="Heading5"/>
              <w:rPr>
                <w:b/>
              </w:rPr>
            </w:pPr>
            <w:bookmarkStart w:id="0" w:name="Proposal"/>
            <w:bookmarkEnd w:id="0"/>
            <w:r>
              <w:rPr>
                <w:b/>
              </w:rPr>
              <w:t>EDP 600: Reading and writing for doctoral studies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3B4FA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056CEB52" w:rsidR="00F64260" w:rsidRPr="00A83A6C" w:rsidRDefault="001148B3" w:rsidP="00B862BF">
            <w:pPr>
              <w:pStyle w:val="Heading5"/>
              <w:rPr>
                <w:b/>
              </w:rPr>
            </w:pPr>
            <w:bookmarkStart w:id="3" w:name="Ifapplicable"/>
            <w:bookmarkEnd w:id="3"/>
            <w:r>
              <w:rPr>
                <w:b/>
              </w:rPr>
              <w:t>n/a</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77777777" w:rsidR="00F64260" w:rsidRPr="005F2A05" w:rsidRDefault="00F64260" w:rsidP="00FA78CA">
            <w:pPr>
              <w:rPr>
                <w:b/>
              </w:rPr>
            </w:pPr>
            <w:bookmarkStart w:id="4" w:name="type"/>
            <w:r w:rsidRPr="005F2A05">
              <w:rPr>
                <w:b/>
              </w:rPr>
              <w:t>Course</w:t>
            </w:r>
            <w:r w:rsidRPr="001148B3">
              <w:rPr>
                <w:b/>
                <w:highlight w:val="yellow"/>
              </w:rPr>
              <w:t>:  creation</w:t>
            </w:r>
            <w:bookmarkEnd w:id="4"/>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162BF641" w14:textId="77777777" w:rsidR="00F64260" w:rsidRPr="005F2A05"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0E90011" w:rsidR="00F64260" w:rsidRPr="002009A3" w:rsidRDefault="002009A3" w:rsidP="00B862BF">
            <w:pPr>
              <w:rPr>
                <w:bCs/>
              </w:rPr>
            </w:pPr>
            <w:bookmarkStart w:id="7" w:name="Originator"/>
            <w:bookmarkEnd w:id="7"/>
            <w:r w:rsidRPr="002009A3">
              <w:rPr>
                <w:bCs/>
              </w:rPr>
              <w:t>Janet Johnson</w:t>
            </w:r>
          </w:p>
        </w:tc>
        <w:tc>
          <w:tcPr>
            <w:tcW w:w="1210" w:type="pct"/>
            <w:gridSpan w:val="2"/>
          </w:tcPr>
          <w:p w14:paraId="561C556F" w14:textId="77777777" w:rsidR="00F64260" w:rsidRPr="00946B20" w:rsidRDefault="003B4FA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49D2EF6" w:rsidR="00F64260" w:rsidRPr="002009A3" w:rsidRDefault="002009A3" w:rsidP="00B862BF">
            <w:pPr>
              <w:rPr>
                <w:bCs/>
              </w:rPr>
            </w:pPr>
            <w:bookmarkStart w:id="8" w:name="home_dept"/>
            <w:bookmarkEnd w:id="8"/>
            <w:r>
              <w:rPr>
                <w:bCs/>
              </w:rPr>
              <w:t>URI/RIC Ph.D. in Education Program</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60A68D1B" w14:textId="42D5F608" w:rsidR="004D6409" w:rsidRDefault="004D6409">
            <w:pPr>
              <w:spacing w:line="240" w:lineRule="auto"/>
              <w:rPr>
                <w:bCs/>
              </w:rPr>
            </w:pPr>
            <w:r>
              <w:rPr>
                <w:bCs/>
              </w:rPr>
              <w:t>The Educational Doctoral Program is revising the curriculum.  This new course will take place in the first semester along with EDP 601 (see</w:t>
            </w:r>
            <w:r w:rsidR="002009A3">
              <w:rPr>
                <w:bCs/>
              </w:rPr>
              <w:t xml:space="preserve"> EDP 601</w:t>
            </w:r>
            <w:r>
              <w:rPr>
                <w:bCs/>
              </w:rPr>
              <w:t xml:space="preserve"> course proposal). Current courses that take place in the first semester will be moved to later in the program.  </w:t>
            </w:r>
          </w:p>
          <w:p w14:paraId="7EF38EA9" w14:textId="77777777" w:rsidR="004D6409" w:rsidRDefault="004D6409">
            <w:pPr>
              <w:spacing w:line="240" w:lineRule="auto"/>
              <w:rPr>
                <w:bCs/>
              </w:rPr>
            </w:pPr>
          </w:p>
          <w:p w14:paraId="42DAAC1A" w14:textId="7080240A" w:rsidR="00F64260" w:rsidRPr="001148B3" w:rsidRDefault="001148B3">
            <w:pPr>
              <w:spacing w:line="240" w:lineRule="auto"/>
              <w:rPr>
                <w:bCs/>
              </w:rPr>
            </w:pPr>
            <w:r w:rsidRPr="001148B3">
              <w:rPr>
                <w:bCs/>
              </w:rPr>
              <w:t>This course focuses on reading academic research and writing a literature review at the doctoral level and, more generally, improving first year doctoral students' academic reading and writing skills. It is not a remedial course. Rather, it emphasizes the interrelatedness of critical reading, writing, and thinking in the pursuit of identifying and understanding the research literature on a topic. It also asks students to reflect on their emerging identity as an academic scholar and situate their reading and writing practices in relevant disciplines and communities of practice. The course will be included as an elective for the URI/RIC Ph.D. in Education program.</w:t>
            </w: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2969745" w:rsidR="000357A5" w:rsidRPr="004D6409" w:rsidRDefault="004D6409" w:rsidP="00B862BF">
            <w:pPr>
              <w:rPr>
                <w:bCs/>
              </w:rPr>
            </w:pPr>
            <w:r>
              <w:rPr>
                <w:bCs/>
              </w:rPr>
              <w:t xml:space="preserve">This course will not add to students’ length of time in the program.  </w:t>
            </w:r>
            <w:r w:rsidR="00FD0740">
              <w:rPr>
                <w:bCs/>
              </w:rPr>
              <w:t xml:space="preserve">EDP 611 will be merged with EDP 610 and keep the EDP 610 number.  EDP 621 will be revised and then offered as a specialization course.  </w:t>
            </w:r>
            <w:bookmarkStart w:id="10" w:name="_GoBack"/>
            <w:r w:rsidR="00487D32">
              <w:rPr>
                <w:bCs/>
              </w:rPr>
              <w:t xml:space="preserve">These changes are included in the catalog copy. </w:t>
            </w:r>
            <w:bookmarkEnd w:id="10"/>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D931D97" w:rsidR="000357A5" w:rsidRPr="00B605CE" w:rsidRDefault="001148B3"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3072" w:type="pct"/>
            <w:gridSpan w:val="5"/>
          </w:tcPr>
          <w:p w14:paraId="69B6F451" w14:textId="685B9BEF" w:rsidR="00B07266" w:rsidRPr="001148B3" w:rsidRDefault="001148B3" w:rsidP="00C25F9D">
            <w:pPr>
              <w:rPr>
                <w:bCs/>
              </w:rPr>
            </w:pPr>
            <w:bookmarkStart w:id="12" w:name="faculty"/>
            <w:bookmarkEnd w:id="12"/>
            <w:r>
              <w:rPr>
                <w:bCs/>
              </w:rPr>
              <w:t xml:space="preserve">This will not affect FLH.  </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3B4FA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07F5D4CF" w:rsidR="00B07266" w:rsidRPr="004D6409" w:rsidRDefault="004D6409" w:rsidP="00C25F9D">
            <w:pPr>
              <w:rPr>
                <w:bCs/>
              </w:rPr>
            </w:pPr>
            <w:bookmarkStart w:id="13" w:name="library"/>
            <w:bookmarkEnd w:id="13"/>
            <w:r>
              <w:rPr>
                <w:bCs/>
              </w:rPr>
              <w:t xml:space="preserve">Students will be taking this course on the URI campus, so will have access to the URI and RIC holdings.  No additional journals or librarian help are needed. </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3B4FA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075AEA33" w:rsidR="00B07266" w:rsidRPr="002009A3" w:rsidRDefault="001148B3" w:rsidP="00C25F9D">
            <w:pPr>
              <w:rPr>
                <w:bCs/>
              </w:rPr>
            </w:pPr>
            <w:bookmarkStart w:id="14" w:name="technology"/>
            <w:bookmarkEnd w:id="14"/>
            <w:r w:rsidRPr="002009A3">
              <w:rPr>
                <w:bCs/>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3B4FA8"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3FB3B387" w:rsidR="00B07266" w:rsidRPr="002009A3" w:rsidRDefault="001148B3" w:rsidP="00C25F9D">
            <w:pPr>
              <w:rPr>
                <w:bCs/>
              </w:rPr>
            </w:pPr>
            <w:bookmarkStart w:id="15" w:name="facilities"/>
            <w:bookmarkEnd w:id="15"/>
            <w:r w:rsidRPr="002009A3">
              <w:rPr>
                <w:bCs/>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1173E28C" w:rsidR="00B07266" w:rsidRPr="002009A3" w:rsidRDefault="001148B3" w:rsidP="00C25F9D">
            <w:pPr>
              <w:rPr>
                <w:bCs/>
              </w:rPr>
            </w:pPr>
            <w:r w:rsidRPr="002009A3">
              <w:rPr>
                <w:bCs/>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7AF5B4B" w:rsidR="000357A5" w:rsidRPr="001148B3" w:rsidRDefault="001148B3" w:rsidP="00C25F9D">
            <w:pPr>
              <w:rPr>
                <w:bCs/>
              </w:rPr>
            </w:pPr>
            <w:bookmarkStart w:id="16" w:name="prog_impact"/>
            <w:bookmarkEnd w:id="16"/>
            <w:r w:rsidRPr="001148B3">
              <w:rPr>
                <w:bCs/>
              </w:rPr>
              <w:t>Fall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7" w:name="cours_title"/>
            <w:bookmarkEnd w:id="17"/>
          </w:p>
        </w:tc>
        <w:tc>
          <w:tcPr>
            <w:tcW w:w="3924" w:type="dxa"/>
            <w:noWrap/>
          </w:tcPr>
          <w:p w14:paraId="72E4032F" w14:textId="179ED0AF" w:rsidR="00F64260" w:rsidRPr="001148B3" w:rsidRDefault="001148B3" w:rsidP="001429AA">
            <w:pPr>
              <w:spacing w:line="240" w:lineRule="auto"/>
              <w:rPr>
                <w:bCs/>
              </w:rPr>
            </w:pPr>
            <w:r w:rsidRPr="001148B3">
              <w:rPr>
                <w:bCs/>
              </w:rPr>
              <w:t>EDP 600</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640A4F88" w:rsidR="00F64260" w:rsidRPr="001148B3" w:rsidRDefault="001148B3" w:rsidP="001429AA">
            <w:pPr>
              <w:spacing w:line="240" w:lineRule="auto"/>
              <w:rPr>
                <w:bCs/>
              </w:rPr>
            </w:pPr>
            <w:r w:rsidRPr="001148B3">
              <w:rPr>
                <w:bCs/>
              </w:rPr>
              <w:t>n/a</w:t>
            </w: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8" w:name="title"/>
            <w:bookmarkEnd w:id="18"/>
          </w:p>
        </w:tc>
        <w:tc>
          <w:tcPr>
            <w:tcW w:w="3924" w:type="dxa"/>
            <w:noWrap/>
          </w:tcPr>
          <w:p w14:paraId="001F0A12" w14:textId="38ABDFE8" w:rsidR="00F64260" w:rsidRPr="001148B3" w:rsidRDefault="001148B3" w:rsidP="001429AA">
            <w:pPr>
              <w:spacing w:line="240" w:lineRule="auto"/>
              <w:rPr>
                <w:bCs/>
              </w:rPr>
            </w:pPr>
            <w:r>
              <w:rPr>
                <w:bCs/>
              </w:rPr>
              <w:t>Reading and Writing for Doctoral Studies</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9" w:name="description"/>
            <w:bookmarkEnd w:id="19"/>
          </w:p>
        </w:tc>
        <w:tc>
          <w:tcPr>
            <w:tcW w:w="3924" w:type="dxa"/>
            <w:noWrap/>
          </w:tcPr>
          <w:p w14:paraId="2DB344D2" w14:textId="4E950A1A" w:rsidR="00F64260" w:rsidRPr="001148B3" w:rsidRDefault="001148B3" w:rsidP="001429AA">
            <w:pPr>
              <w:spacing w:line="240" w:lineRule="auto"/>
              <w:rPr>
                <w:bCs/>
              </w:rPr>
            </w:pPr>
            <w:r w:rsidRPr="001148B3">
              <w:rPr>
                <w:bCs/>
              </w:rPr>
              <w:t>Students develop and practice academic reading, writing, and thinking skills involved in professional practices of educational research and publishing communities. Course emphasizes scholarly identity and writing cogent literature reviews.</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20" w:name="prereqs"/>
            <w:bookmarkEnd w:id="20"/>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4FF5B1EE" w14:textId="77777777" w:rsidR="00F64260" w:rsidRPr="009F029C" w:rsidRDefault="00F64260" w:rsidP="000A36CD">
            <w:pPr>
              <w:spacing w:line="240" w:lineRule="auto"/>
              <w:rPr>
                <w:b/>
                <w:sz w:val="20"/>
              </w:rPr>
            </w:pPr>
            <w:bookmarkStart w:id="21" w:name="offered"/>
            <w:r w:rsidRPr="009F029C">
              <w:rPr>
                <w:b/>
                <w:sz w:val="20"/>
              </w:rPr>
              <w:t xml:space="preserve">Fall  </w:t>
            </w:r>
            <w:bookmarkEnd w:id="21"/>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FB7E3E2" w14:textId="77777777" w:rsidR="00F64260" w:rsidRPr="009F029C" w:rsidRDefault="00F64260" w:rsidP="000A36CD">
            <w:pPr>
              <w:spacing w:line="240" w:lineRule="auto"/>
              <w:rPr>
                <w:b/>
                <w:sz w:val="20"/>
              </w:rPr>
            </w:pPr>
            <w:r w:rsidRPr="009F029C">
              <w:rPr>
                <w:b/>
                <w:sz w:val="20"/>
              </w:rPr>
              <w:t>Even years |  Odd years | Annually</w:t>
            </w:r>
          </w:p>
          <w:p w14:paraId="6CAE2892" w14:textId="77777777" w:rsidR="00F64260" w:rsidRPr="009F029C" w:rsidRDefault="003B4FA8" w:rsidP="000A36CD">
            <w:pPr>
              <w:spacing w:line="240" w:lineRule="auto"/>
              <w:rPr>
                <w:b/>
                <w:sz w:val="20"/>
              </w:rPr>
            </w:pPr>
            <w:hyperlink r:id="rId8"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As needed</w:t>
            </w:r>
          </w:p>
        </w:tc>
        <w:tc>
          <w:tcPr>
            <w:tcW w:w="3924" w:type="dxa"/>
            <w:noWrap/>
          </w:tcPr>
          <w:p w14:paraId="70575036" w14:textId="77777777" w:rsidR="00F64260" w:rsidRPr="009F029C" w:rsidRDefault="00F64260" w:rsidP="00C25F9D">
            <w:pPr>
              <w:spacing w:line="240" w:lineRule="auto"/>
              <w:rPr>
                <w:rFonts w:ascii="MS Mincho" w:eastAsia="MS Mincho" w:hAnsi="MS Mincho" w:cs="MS Mincho"/>
                <w:b/>
                <w:sz w:val="20"/>
              </w:rPr>
            </w:pPr>
            <w:r w:rsidRPr="00D26B67">
              <w:rPr>
                <w:b/>
                <w:sz w:val="20"/>
                <w:highlight w:val="yellow"/>
              </w:rPr>
              <w:t>Fall</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0AD2C77" w14:textId="77777777" w:rsidR="00F64260" w:rsidRPr="009F029C" w:rsidRDefault="00F64260" w:rsidP="00C25F9D">
            <w:pPr>
              <w:spacing w:line="240" w:lineRule="auto"/>
              <w:rPr>
                <w:b/>
                <w:sz w:val="20"/>
              </w:rPr>
            </w:pPr>
            <w:r w:rsidRPr="009F029C">
              <w:rPr>
                <w:b/>
                <w:sz w:val="20"/>
              </w:rPr>
              <w:t>Even years |  Odd years | Annually</w:t>
            </w:r>
          </w:p>
          <w:p w14:paraId="6E8FAD04" w14:textId="77777777" w:rsidR="00F64260" w:rsidRPr="009F029C" w:rsidRDefault="00F64260" w:rsidP="00C25F9D">
            <w:pPr>
              <w:spacing w:line="240" w:lineRule="auto"/>
              <w:rPr>
                <w:b/>
                <w:sz w:val="20"/>
              </w:rPr>
            </w:pPr>
            <w:r w:rsidRPr="009F029C">
              <w:rPr>
                <w:b/>
                <w:sz w:val="20"/>
              </w:rPr>
              <w:t xml:space="preserve">Alternate Years  </w:t>
            </w:r>
            <w:r w:rsidRPr="009F029C">
              <w:rPr>
                <w:rFonts w:ascii="MS Mincho" w:eastAsia="MS Mincho" w:hAnsi="MS Mincho" w:cs="MS Mincho"/>
                <w:b/>
                <w:sz w:val="20"/>
              </w:rPr>
              <w:t xml:space="preserve">| </w:t>
            </w:r>
            <w:r w:rsidRPr="009F029C">
              <w:rPr>
                <w:b/>
                <w:sz w:val="20"/>
              </w:rPr>
              <w:t>As needed.</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52020170" w:rsidR="00F64260" w:rsidRPr="009F029C" w:rsidRDefault="00F64260" w:rsidP="001429AA">
            <w:pPr>
              <w:spacing w:line="240" w:lineRule="auto"/>
              <w:rPr>
                <w:b/>
              </w:rPr>
            </w:pPr>
            <w:bookmarkStart w:id="22" w:name="contacthours"/>
            <w:bookmarkEnd w:id="22"/>
          </w:p>
        </w:tc>
        <w:tc>
          <w:tcPr>
            <w:tcW w:w="3924" w:type="dxa"/>
            <w:noWrap/>
          </w:tcPr>
          <w:p w14:paraId="790915FC" w14:textId="31FE1794" w:rsidR="00F64260" w:rsidRPr="001148B3" w:rsidRDefault="001148B3" w:rsidP="001429AA">
            <w:pPr>
              <w:spacing w:line="240" w:lineRule="auto"/>
              <w:rPr>
                <w:bCs/>
              </w:rPr>
            </w:pPr>
            <w:r w:rsidRPr="001148B3">
              <w:rPr>
                <w:bCs/>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3" w:name="credits"/>
            <w:bookmarkEnd w:id="23"/>
          </w:p>
        </w:tc>
        <w:tc>
          <w:tcPr>
            <w:tcW w:w="3924" w:type="dxa"/>
            <w:noWrap/>
          </w:tcPr>
          <w:p w14:paraId="4F70C16F" w14:textId="7BDB6633" w:rsidR="00F64260" w:rsidRPr="001148B3" w:rsidRDefault="001148B3" w:rsidP="001429AA">
            <w:pPr>
              <w:spacing w:line="240" w:lineRule="auto"/>
              <w:rPr>
                <w:bCs/>
              </w:rPr>
            </w:pPr>
            <w:r w:rsidRPr="001148B3">
              <w:rPr>
                <w:bCs/>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4" w:name="differences"/>
            <w:bookmarkEnd w:id="24"/>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434C3FC9" w:rsidR="00F64260" w:rsidRPr="009F029C" w:rsidRDefault="00F64260" w:rsidP="00B2320C">
            <w:pPr>
              <w:spacing w:line="240" w:lineRule="auto"/>
              <w:rPr>
                <w:b/>
                <w:sz w:val="20"/>
              </w:rPr>
            </w:pPr>
            <w:r w:rsidRPr="00D26B67">
              <w:rPr>
                <w:b/>
                <w:sz w:val="20"/>
              </w:rPr>
              <w:t>Letter grade</w:t>
            </w:r>
            <w:r w:rsidRPr="009F029C">
              <w:rPr>
                <w:b/>
                <w:sz w:val="20"/>
              </w:rPr>
              <w:t xml:space="preserve">  </w:t>
            </w:r>
          </w:p>
        </w:tc>
        <w:tc>
          <w:tcPr>
            <w:tcW w:w="3924" w:type="dxa"/>
            <w:noWrap/>
          </w:tcPr>
          <w:p w14:paraId="32C16048" w14:textId="25529E13" w:rsidR="00F64260" w:rsidRPr="009F029C" w:rsidRDefault="00482982" w:rsidP="000357A5">
            <w:pPr>
              <w:spacing w:line="240" w:lineRule="auto"/>
              <w:rPr>
                <w:b/>
                <w:sz w:val="20"/>
              </w:rPr>
            </w:pPr>
            <w:r w:rsidRPr="00D26B67">
              <w:rPr>
                <w:b/>
                <w:sz w:val="20"/>
                <w:highlight w:val="yellow"/>
              </w:rPr>
              <w:t>Letter grade</w:t>
            </w:r>
            <w:r>
              <w:rPr>
                <w:b/>
                <w:sz w:val="20"/>
              </w:rPr>
              <w:t xml:space="preserve">  </w:t>
            </w:r>
            <w:r w:rsidRPr="000357A5">
              <w:rPr>
                <w:b/>
                <w:sz w:val="20"/>
              </w:rPr>
              <w:t>|</w:t>
            </w:r>
            <w:r w:rsidR="00F64260" w:rsidRPr="000357A5">
              <w:rPr>
                <w:b/>
                <w:sz w:val="20"/>
              </w:rPr>
              <w:t xml:space="preserve">  </w:t>
            </w:r>
            <w:r w:rsidR="000357A5" w:rsidRPr="000357A5">
              <w:rPr>
                <w:b/>
                <w:sz w:val="20"/>
              </w:rPr>
              <w:t>S/U</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6D0309AE" w:rsidR="00F64260" w:rsidRPr="009F029C" w:rsidRDefault="00F64260" w:rsidP="0027634D">
            <w:pPr>
              <w:spacing w:line="240" w:lineRule="auto"/>
              <w:rPr>
                <w:b/>
                <w:sz w:val="20"/>
              </w:rPr>
            </w:pPr>
            <w:bookmarkStart w:id="25" w:name="instr_methods"/>
            <w:bookmarkEnd w:id="25"/>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 </w:t>
            </w:r>
            <w:r w:rsidR="000357A5" w:rsidRPr="000357A5">
              <w:rPr>
                <w:b/>
                <w:sz w:val="20"/>
              </w:rPr>
              <w:t xml:space="preserve">Studio work |   </w:t>
            </w:r>
            <w:r w:rsidRPr="009F029C">
              <w:rPr>
                <w:b/>
                <w:sz w:val="20"/>
              </w:rPr>
              <w:t xml:space="preserve">  </w:t>
            </w:r>
            <w:hyperlink w:anchor="Online" w:tooltip="If selected, indicate the percentage of course time spent online" w:history="1">
              <w:r w:rsidRPr="00A87611">
                <w:rPr>
                  <w:rStyle w:val="Hyperlink"/>
                  <w:b/>
                  <w:sz w:val="20"/>
                </w:rPr>
                <w:t>% Online</w:t>
              </w:r>
            </w:hyperlink>
          </w:p>
        </w:tc>
        <w:tc>
          <w:tcPr>
            <w:tcW w:w="3924" w:type="dxa"/>
            <w:noWrap/>
          </w:tcPr>
          <w:p w14:paraId="1FE5962F" w14:textId="4A13F2DE" w:rsidR="00F64260" w:rsidRPr="009F029C" w:rsidRDefault="00F64260" w:rsidP="00A76B76">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1148B3">
              <w:rPr>
                <w:b/>
                <w:sz w:val="20"/>
                <w:highlight w:val="yellow"/>
              </w:rPr>
              <w:t>Lecture</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1148B3">
              <w:rPr>
                <w:b/>
                <w:sz w:val="20"/>
                <w:highlight w:val="yellow"/>
              </w:rPr>
              <w:t>Seminar</w:t>
            </w:r>
            <w:r w:rsidRPr="009F029C">
              <w:rPr>
                <w:b/>
                <w:sz w:val="20"/>
              </w:rPr>
              <w:t xml:space="preserve">  </w:t>
            </w:r>
            <w:r w:rsidRPr="009F029C">
              <w:rPr>
                <w:rFonts w:ascii="MS Mincho" w:eastAsia="MS Mincho" w:hAnsi="MS Mincho" w:cs="MS Mincho"/>
                <w:b/>
                <w:sz w:val="20"/>
              </w:rPr>
              <w:t xml:space="preserve">| </w:t>
            </w:r>
            <w:r w:rsidRPr="009F029C">
              <w:rPr>
                <w:b/>
                <w:sz w:val="20"/>
              </w:rPr>
              <w:t>Small group | Individual |</w:t>
            </w:r>
            <w:r w:rsidR="000357A5">
              <w:rPr>
                <w:b/>
                <w:sz w:val="20"/>
              </w:rPr>
              <w:t xml:space="preserve">  Studio work |</w:t>
            </w:r>
            <w:r w:rsidRPr="009F029C">
              <w:rPr>
                <w:b/>
                <w:sz w:val="20"/>
              </w:rPr>
              <w:t xml:space="preserve">   </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7E99AEDF" w:rsidR="00F64260" w:rsidRPr="009F029C" w:rsidRDefault="00F64260" w:rsidP="00B2320C">
            <w:pPr>
              <w:spacing w:line="240" w:lineRule="auto"/>
              <w:rPr>
                <w:b/>
                <w:sz w:val="20"/>
              </w:rPr>
            </w:pPr>
            <w:bookmarkStart w:id="26" w:name="required"/>
            <w:bookmarkEnd w:id="26"/>
            <w:r w:rsidRPr="009F029C">
              <w:rPr>
                <w:b/>
                <w:sz w:val="20"/>
              </w:rPr>
              <w:t xml:space="preserve">Required for </w:t>
            </w:r>
            <w:r w:rsidR="00B2320C">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Res</w:t>
            </w:r>
            <w:r w:rsidR="00B2320C">
              <w:rPr>
                <w:b/>
                <w:sz w:val="20"/>
              </w:rPr>
              <w:t>tricted elective for program</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460254CA" w14:textId="1972EAF1" w:rsidR="00F64260" w:rsidRPr="009F029C" w:rsidRDefault="00F64260" w:rsidP="00B2320C">
            <w:pPr>
              <w:spacing w:line="240" w:lineRule="auto"/>
              <w:rPr>
                <w:b/>
                <w:sz w:val="20"/>
              </w:rPr>
            </w:pPr>
            <w:r w:rsidRPr="00D26B67">
              <w:rPr>
                <w:b/>
                <w:sz w:val="20"/>
                <w:highlight w:val="yellow"/>
              </w:rPr>
              <w:t xml:space="preserve">Required for </w:t>
            </w:r>
            <w:r w:rsidR="00B2320C" w:rsidRPr="00D26B67">
              <w:rPr>
                <w:b/>
                <w:sz w:val="20"/>
                <w:highlight w:val="yellow"/>
              </w:rPr>
              <w:t>program</w:t>
            </w:r>
            <w:r w:rsidRPr="009F029C">
              <w:rPr>
                <w:b/>
                <w:sz w:val="20"/>
              </w:rPr>
              <w:t xml:space="preserve">  </w:t>
            </w:r>
            <w:r w:rsidRPr="009F029C">
              <w:rPr>
                <w:rFonts w:ascii="MS Mincho" w:eastAsia="MS Mincho" w:hAnsi="MS Mincho" w:cs="MS Mincho"/>
                <w:b/>
                <w:sz w:val="20"/>
              </w:rPr>
              <w:t xml:space="preserve">| </w:t>
            </w:r>
            <w:r w:rsidRPr="009F029C">
              <w:rPr>
                <w:b/>
                <w:sz w:val="20"/>
              </w:rPr>
              <w:t>Res</w:t>
            </w:r>
            <w:r w:rsidR="00B2320C">
              <w:rPr>
                <w:b/>
                <w:sz w:val="20"/>
              </w:rPr>
              <w:t>tricted elective for program</w:t>
            </w:r>
            <w:r w:rsidRPr="009F029C">
              <w:rPr>
                <w:b/>
                <w:sz w:val="20"/>
              </w:rPr>
              <w:t xml:space="preserve">  </w:t>
            </w:r>
            <w:r w:rsidRPr="009F029C">
              <w:rPr>
                <w:rFonts w:ascii="MS Mincho" w:eastAsia="MS Mincho" w:hAnsi="MS Mincho" w:cs="MS Mincho"/>
                <w:b/>
                <w:sz w:val="20"/>
              </w:rPr>
              <w:t xml:space="preserve">| </w:t>
            </w:r>
            <w:r>
              <w:rPr>
                <w:b/>
                <w:sz w:val="20"/>
              </w:rPr>
              <w:t xml:space="preserve">Free elective </w:t>
            </w:r>
            <w:r w:rsidRPr="009F029C">
              <w:rPr>
                <w:rFonts w:ascii="MS Mincho" w:eastAsia="MS Mincho" w:hAnsi="MS Mincho" w:cs="MS Mincho"/>
                <w:b/>
                <w:sz w:val="20"/>
              </w:rPr>
              <w:t>|</w:t>
            </w:r>
            <w:r w:rsidRPr="009F029C">
              <w:rPr>
                <w:b/>
                <w:sz w:val="20"/>
              </w:rPr>
              <w:t xml:space="preserve"> Required for Certification</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3B3B77BA" w14:textId="77777777" w:rsidR="00C629CB" w:rsidRPr="00C629CB" w:rsidRDefault="00C629CB" w:rsidP="00C629CB">
            <w:pPr>
              <w:spacing w:line="240" w:lineRule="auto"/>
              <w:rPr>
                <w:b/>
                <w:sz w:val="20"/>
              </w:rPr>
            </w:pPr>
            <w:bookmarkStart w:id="27" w:name="performance"/>
            <w:bookmarkEnd w:id="27"/>
            <w:r w:rsidRPr="00C629CB">
              <w:rPr>
                <w:b/>
                <w:sz w:val="20"/>
              </w:rPr>
              <w:t xml:space="preserve">Attendance  | Class participation |  Clinical work |  Exams  |  Fieldwork | Presentations  | Papers  | </w:t>
            </w:r>
          </w:p>
          <w:p w14:paraId="736CFC93" w14:textId="77777777" w:rsidR="00C629CB" w:rsidRPr="00C629CB" w:rsidRDefault="00C629CB" w:rsidP="00C629CB">
            <w:pPr>
              <w:spacing w:line="240" w:lineRule="auto"/>
              <w:rPr>
                <w:b/>
                <w:sz w:val="20"/>
              </w:rPr>
            </w:pPr>
            <w:r w:rsidRPr="00C629CB">
              <w:rPr>
                <w:b/>
                <w:sz w:val="20"/>
              </w:rPr>
              <w:t>Class Work  | Interviews | Quizzes |</w:t>
            </w:r>
          </w:p>
          <w:p w14:paraId="372283B9" w14:textId="77777777" w:rsidR="00C629CB" w:rsidRPr="00C629CB" w:rsidRDefault="00C629CB" w:rsidP="00C629CB">
            <w:pPr>
              <w:spacing w:line="240" w:lineRule="auto"/>
              <w:rPr>
                <w:b/>
                <w:sz w:val="20"/>
              </w:rPr>
            </w:pPr>
            <w:r w:rsidRPr="00C629CB">
              <w:rPr>
                <w:b/>
                <w:sz w:val="20"/>
              </w:rPr>
              <w:t xml:space="preserve">Performance Protocols  | Projects | </w:t>
            </w:r>
          </w:p>
          <w:p w14:paraId="5128E2F0" w14:textId="42240E79" w:rsidR="00F64260" w:rsidRPr="009F029C" w:rsidRDefault="00C629CB" w:rsidP="00C629CB">
            <w:pPr>
              <w:spacing w:line="240" w:lineRule="auto"/>
              <w:rPr>
                <w:b/>
                <w:sz w:val="20"/>
              </w:rPr>
            </w:pPr>
            <w:r w:rsidRPr="00C629CB">
              <w:rPr>
                <w:b/>
                <w:sz w:val="20"/>
              </w:rPr>
              <w:t>|  Reports of outside supervisor | Studio work</w:t>
            </w:r>
          </w:p>
        </w:tc>
        <w:tc>
          <w:tcPr>
            <w:tcW w:w="3924" w:type="dxa"/>
            <w:noWrap/>
          </w:tcPr>
          <w:p w14:paraId="2896F61E" w14:textId="79CECE04" w:rsidR="00F64260" w:rsidRPr="009F029C" w:rsidRDefault="00F64260" w:rsidP="0027634D">
            <w:pPr>
              <w:spacing w:line="240" w:lineRule="auto"/>
              <w:rPr>
                <w:rFonts w:ascii="MS Mincho" w:eastAsia="MS Mincho" w:hAnsi="MS Mincho" w:cs="MS Mincho"/>
                <w:b/>
                <w:sz w:val="20"/>
              </w:rPr>
            </w:pPr>
            <w:r w:rsidRPr="00D26B67">
              <w:rPr>
                <w:b/>
                <w:sz w:val="20"/>
                <w:highlight w:val="yellow"/>
              </w:rPr>
              <w:t>Attendance</w:t>
            </w:r>
            <w:r w:rsidRPr="009F029C">
              <w:rPr>
                <w:b/>
                <w:sz w:val="20"/>
              </w:rPr>
              <w:t xml:space="preserve">  </w:t>
            </w:r>
            <w:r w:rsidRPr="009F029C">
              <w:rPr>
                <w:rFonts w:ascii="MS Mincho" w:eastAsia="MS Mincho" w:hAnsi="MS Mincho" w:cs="MS Mincho"/>
                <w:b/>
                <w:sz w:val="20"/>
              </w:rPr>
              <w:t xml:space="preserve">| </w:t>
            </w:r>
            <w:r w:rsidRPr="00D26B67">
              <w:rPr>
                <w:b/>
                <w:sz w:val="20"/>
                <w:highlight w:val="yellow"/>
              </w:rPr>
              <w:t>Class participation</w:t>
            </w:r>
            <w:r w:rsidRPr="009F029C">
              <w:rPr>
                <w:b/>
                <w:sz w:val="20"/>
              </w:rPr>
              <w:t xml:space="preserve"> </w:t>
            </w:r>
            <w:r w:rsidRPr="009F029C">
              <w:rPr>
                <w:rFonts w:ascii="MS Mincho" w:eastAsia="MS Mincho" w:hAnsi="MS Mincho" w:cs="MS Mincho"/>
                <w:b/>
                <w:sz w:val="20"/>
              </w:rPr>
              <w:t>|</w:t>
            </w:r>
            <w:r w:rsidRPr="009F029C">
              <w:rPr>
                <w:b/>
                <w:sz w:val="20"/>
              </w:rPr>
              <w:t xml:space="preserve">  </w:t>
            </w:r>
            <w:r w:rsidR="00C629CB">
              <w:rPr>
                <w:b/>
                <w:sz w:val="20"/>
              </w:rPr>
              <w:t xml:space="preserve">Clinical work |  </w:t>
            </w: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w:t>
            </w:r>
            <w:r w:rsidR="00C629CB">
              <w:rPr>
                <w:b/>
                <w:sz w:val="20"/>
              </w:rPr>
              <w:t xml:space="preserve">Fieldwork | </w:t>
            </w:r>
            <w:r w:rsidRPr="00D26B67">
              <w:rPr>
                <w:b/>
                <w:sz w:val="20"/>
                <w:highlight w:val="yellow"/>
              </w:rPr>
              <w:t>Presentations</w:t>
            </w:r>
            <w:r w:rsidRPr="009F029C">
              <w:rPr>
                <w:b/>
                <w:sz w:val="20"/>
              </w:rPr>
              <w:t xml:space="preserve">  </w:t>
            </w:r>
            <w:r w:rsidRPr="009F029C">
              <w:rPr>
                <w:rFonts w:ascii="MS Mincho" w:eastAsia="MS Mincho" w:hAnsi="MS Mincho" w:cs="MS Mincho"/>
                <w:b/>
                <w:sz w:val="20"/>
              </w:rPr>
              <w:t xml:space="preserve">| </w:t>
            </w:r>
            <w:r w:rsidRPr="00D26B67">
              <w:rPr>
                <w:b/>
                <w:sz w:val="20"/>
                <w:highlight w:val="yellow"/>
              </w:rPr>
              <w:t>Papers</w:t>
            </w:r>
            <w:r w:rsidRPr="009F029C">
              <w:rPr>
                <w:b/>
                <w:sz w:val="20"/>
              </w:rPr>
              <w:t xml:space="preserve">  </w:t>
            </w:r>
            <w:r w:rsidRPr="009F029C">
              <w:rPr>
                <w:rFonts w:ascii="MS Mincho" w:eastAsia="MS Mincho" w:hAnsi="MS Mincho" w:cs="MS Mincho"/>
                <w:b/>
                <w:sz w:val="20"/>
              </w:rPr>
              <w:t xml:space="preserve">| </w:t>
            </w:r>
          </w:p>
          <w:p w14:paraId="426CAA13" w14:textId="77777777" w:rsidR="00F64260" w:rsidRPr="009F029C" w:rsidRDefault="00F64260" w:rsidP="0027634D">
            <w:pPr>
              <w:spacing w:line="240" w:lineRule="auto"/>
              <w:rPr>
                <w:b/>
                <w:sz w:val="20"/>
              </w:rPr>
            </w:pPr>
            <w:r w:rsidRPr="00D26B67">
              <w:rPr>
                <w:b/>
                <w:sz w:val="20"/>
                <w:highlight w:val="yellow"/>
              </w:rPr>
              <w:t>Class Work</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5DC57830"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D26B67">
              <w:rPr>
                <w:b/>
                <w:sz w:val="20"/>
                <w:highlight w:val="yellow"/>
              </w:rPr>
              <w:t>Projects</w:t>
            </w:r>
            <w:r w:rsidRPr="009F029C">
              <w:rPr>
                <w:b/>
                <w:sz w:val="20"/>
              </w:rPr>
              <w:t xml:space="preserve"> </w:t>
            </w:r>
            <w:r w:rsidRPr="009F029C">
              <w:rPr>
                <w:rFonts w:ascii="MS Mincho" w:eastAsia="MS Mincho" w:hAnsi="MS Mincho" w:cs="MS Mincho"/>
                <w:b/>
                <w:sz w:val="20"/>
              </w:rPr>
              <w:t>|</w:t>
            </w:r>
            <w:r w:rsidRPr="009F029C">
              <w:rPr>
                <w:b/>
                <w:sz w:val="20"/>
              </w:rPr>
              <w:t xml:space="preserve"> </w:t>
            </w:r>
          </w:p>
          <w:p w14:paraId="7BA0A8BE" w14:textId="155641CE"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r w:rsidR="00C629CB">
              <w:rPr>
                <w:b/>
                <w:sz w:val="20"/>
              </w:rPr>
              <w:t xml:space="preserve"> | Studio work</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8" w:name="competing"/>
            <w:bookmarkEnd w:id="28"/>
          </w:p>
        </w:tc>
        <w:tc>
          <w:tcPr>
            <w:tcW w:w="3924" w:type="dxa"/>
            <w:noWrap/>
          </w:tcPr>
          <w:p w14:paraId="36AF007E" w14:textId="798B3C33" w:rsidR="00F64260" w:rsidRPr="00D26B67" w:rsidRDefault="00D26B67" w:rsidP="001429AA">
            <w:pPr>
              <w:spacing w:line="240" w:lineRule="auto"/>
              <w:rPr>
                <w:bCs/>
              </w:rPr>
            </w:pPr>
            <w:r w:rsidRPr="00D26B67">
              <w:rPr>
                <w:bCs/>
              </w:rPr>
              <w:t>n/a</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702"/>
        <w:gridCol w:w="4669"/>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3B4FA8"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3B4FA8"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67FC6505" w:rsidR="00F64260" w:rsidRDefault="00D26B67">
            <w:pPr>
              <w:spacing w:line="240" w:lineRule="auto"/>
            </w:pPr>
            <w:bookmarkStart w:id="29" w:name="outcomes"/>
            <w:bookmarkEnd w:id="29"/>
            <w:r>
              <w:rPr>
                <w:sz w:val="24"/>
                <w:szCs w:val="24"/>
              </w:rPr>
              <w:t>1. You will l</w:t>
            </w:r>
            <w:r w:rsidRPr="00913C40">
              <w:rPr>
                <w:sz w:val="24"/>
                <w:szCs w:val="24"/>
              </w:rPr>
              <w:t xml:space="preserve">earn and practice concrete strategies for reading and deconstructing academic texts </w:t>
            </w:r>
            <w:r>
              <w:rPr>
                <w:sz w:val="24"/>
                <w:szCs w:val="24"/>
              </w:rPr>
              <w:t>as evidenced by your ability to…</w:t>
            </w:r>
          </w:p>
        </w:tc>
        <w:tc>
          <w:tcPr>
            <w:tcW w:w="1710" w:type="dxa"/>
          </w:tcPr>
          <w:p w14:paraId="48EEBF8B" w14:textId="23BD0859" w:rsidR="00F64260" w:rsidRDefault="00C74128">
            <w:pPr>
              <w:spacing w:line="240" w:lineRule="auto"/>
            </w:pPr>
            <w:bookmarkStart w:id="30" w:name="standards"/>
            <w:bookmarkEnd w:id="30"/>
            <w:r>
              <w:t>n/a</w:t>
            </w:r>
          </w:p>
        </w:tc>
        <w:tc>
          <w:tcPr>
            <w:tcW w:w="4788" w:type="dxa"/>
          </w:tcPr>
          <w:p w14:paraId="0A370311" w14:textId="12A28511" w:rsidR="00F64260" w:rsidRDefault="00D26B67">
            <w:pPr>
              <w:spacing w:line="240" w:lineRule="auto"/>
            </w:pPr>
            <w:bookmarkStart w:id="31" w:name="measured"/>
            <w:bookmarkEnd w:id="31"/>
            <w:r w:rsidRPr="009155DF">
              <w:rPr>
                <w:sz w:val="24"/>
                <w:szCs w:val="24"/>
              </w:rPr>
              <w:t xml:space="preserve">Complete </w:t>
            </w:r>
            <w:r w:rsidRPr="009155DF">
              <w:rPr>
                <w:b/>
                <w:sz w:val="24"/>
                <w:szCs w:val="24"/>
              </w:rPr>
              <w:t xml:space="preserve">six sets of writing and thinking exercises </w:t>
            </w:r>
            <w:r w:rsidRPr="009155DF">
              <w:rPr>
                <w:sz w:val="24"/>
                <w:szCs w:val="24"/>
              </w:rPr>
              <w:t>at various times during the semester.</w:t>
            </w:r>
          </w:p>
        </w:tc>
      </w:tr>
      <w:tr w:rsidR="00F64260" w14:paraId="73043584" w14:textId="77777777">
        <w:trPr>
          <w:cantSplit/>
        </w:trPr>
        <w:tc>
          <w:tcPr>
            <w:tcW w:w="4518" w:type="dxa"/>
          </w:tcPr>
          <w:p w14:paraId="25B9473A" w14:textId="77777777" w:rsidR="00D26B67" w:rsidRPr="00DB4F59" w:rsidRDefault="00D26B67" w:rsidP="00D26B67">
            <w:pPr>
              <w:rPr>
                <w:sz w:val="24"/>
                <w:szCs w:val="24"/>
              </w:rPr>
            </w:pPr>
            <w:r>
              <w:rPr>
                <w:sz w:val="24"/>
                <w:szCs w:val="24"/>
              </w:rPr>
              <w:t xml:space="preserve">2. </w:t>
            </w:r>
            <w:r w:rsidRPr="00DB4F59">
              <w:rPr>
                <w:sz w:val="24"/>
                <w:szCs w:val="24"/>
              </w:rPr>
              <w:t xml:space="preserve">You will develop a strong metacognitive awareness of your academic reading and writing processes as </w:t>
            </w:r>
            <w:r>
              <w:rPr>
                <w:sz w:val="24"/>
                <w:szCs w:val="24"/>
              </w:rPr>
              <w:t>evidenced by your ability to:</w:t>
            </w:r>
          </w:p>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0FFCB2A5" w:rsidR="00F64260" w:rsidRDefault="00D26B67">
            <w:pPr>
              <w:spacing w:line="240" w:lineRule="auto"/>
            </w:pPr>
            <w:r w:rsidRPr="009155DF">
              <w:rPr>
                <w:sz w:val="24"/>
                <w:szCs w:val="24"/>
              </w:rPr>
              <w:t xml:space="preserve">Complete a </w:t>
            </w:r>
            <w:r w:rsidRPr="009155DF">
              <w:rPr>
                <w:b/>
                <w:sz w:val="24"/>
                <w:szCs w:val="24"/>
              </w:rPr>
              <w:t>self-assessment</w:t>
            </w:r>
            <w:r w:rsidRPr="009155DF">
              <w:rPr>
                <w:sz w:val="24"/>
                <w:szCs w:val="24"/>
              </w:rPr>
              <w:t xml:space="preserve"> of your critical approaches to reading and writing and </w:t>
            </w:r>
            <w:r w:rsidRPr="009155DF">
              <w:rPr>
                <w:b/>
                <w:sz w:val="24"/>
                <w:szCs w:val="24"/>
              </w:rPr>
              <w:t xml:space="preserve">reflect on the awareness and action reminders </w:t>
            </w:r>
            <w:r w:rsidRPr="009155DF">
              <w:rPr>
                <w:sz w:val="24"/>
                <w:szCs w:val="24"/>
              </w:rPr>
              <w:t>outlined at the end of each chapter in your course text</w:t>
            </w:r>
          </w:p>
        </w:tc>
      </w:tr>
      <w:tr w:rsidR="00F64260" w14:paraId="373F39F0" w14:textId="77777777">
        <w:trPr>
          <w:cantSplit/>
        </w:trPr>
        <w:tc>
          <w:tcPr>
            <w:tcW w:w="4518" w:type="dxa"/>
          </w:tcPr>
          <w:p w14:paraId="48F18ABC" w14:textId="77777777" w:rsidR="00D26B67" w:rsidRPr="00DB4F59" w:rsidRDefault="00D26B67" w:rsidP="00D26B67">
            <w:pPr>
              <w:rPr>
                <w:sz w:val="24"/>
                <w:szCs w:val="24"/>
              </w:rPr>
            </w:pPr>
            <w:r w:rsidRPr="00DB4F59">
              <w:rPr>
                <w:sz w:val="24"/>
                <w:szCs w:val="24"/>
              </w:rPr>
              <w:t xml:space="preserve">3. You will locate and closely examine peer-reviewed published research articles on a topic in your field as </w:t>
            </w:r>
            <w:r>
              <w:rPr>
                <w:sz w:val="24"/>
                <w:szCs w:val="24"/>
              </w:rPr>
              <w:t>evidenced by your ability to:</w:t>
            </w:r>
          </w:p>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2DCA9AE3" w:rsidR="00F64260" w:rsidRDefault="00D26B67" w:rsidP="00AE7A3D">
            <w:pPr>
              <w:spacing w:line="240" w:lineRule="auto"/>
            </w:pPr>
            <w:r w:rsidRPr="009155DF">
              <w:rPr>
                <w:sz w:val="24"/>
                <w:szCs w:val="24"/>
              </w:rPr>
              <w:t xml:space="preserve">Construct an </w:t>
            </w:r>
            <w:r w:rsidRPr="009155DF">
              <w:rPr>
                <w:b/>
                <w:sz w:val="24"/>
                <w:szCs w:val="24"/>
              </w:rPr>
              <w:t xml:space="preserve">annotated bibliography or scholar-author study </w:t>
            </w:r>
            <w:r w:rsidRPr="009155DF">
              <w:rPr>
                <w:sz w:val="24"/>
                <w:szCs w:val="24"/>
              </w:rPr>
              <w:t>that accompanies your idea map and author map to inform your understanding of research on that topic</w:t>
            </w:r>
          </w:p>
        </w:tc>
      </w:tr>
      <w:tr w:rsidR="00D26B67" w14:paraId="111C492D" w14:textId="77777777">
        <w:trPr>
          <w:cantSplit/>
        </w:trPr>
        <w:tc>
          <w:tcPr>
            <w:tcW w:w="4518" w:type="dxa"/>
          </w:tcPr>
          <w:p w14:paraId="72D990E3" w14:textId="77777777" w:rsidR="00D26B67" w:rsidRPr="00F071E6" w:rsidRDefault="00D26B67" w:rsidP="00D26B67">
            <w:pPr>
              <w:rPr>
                <w:sz w:val="24"/>
                <w:szCs w:val="24"/>
              </w:rPr>
            </w:pPr>
            <w:r>
              <w:rPr>
                <w:sz w:val="24"/>
                <w:szCs w:val="24"/>
              </w:rPr>
              <w:t xml:space="preserve">4. </w:t>
            </w:r>
            <w:r w:rsidRPr="00F071E6">
              <w:rPr>
                <w:sz w:val="24"/>
                <w:szCs w:val="24"/>
              </w:rPr>
              <w:t xml:space="preserve">You will </w:t>
            </w:r>
            <w:r>
              <w:rPr>
                <w:sz w:val="24"/>
                <w:szCs w:val="24"/>
              </w:rPr>
              <w:t xml:space="preserve">synthesize and integrate </w:t>
            </w:r>
            <w:r w:rsidRPr="00F071E6">
              <w:rPr>
                <w:sz w:val="24"/>
                <w:szCs w:val="24"/>
              </w:rPr>
              <w:t xml:space="preserve">findings from research using advanced academic conventions </w:t>
            </w:r>
            <w:r w:rsidRPr="00DB4F59">
              <w:rPr>
                <w:sz w:val="24"/>
                <w:szCs w:val="24"/>
              </w:rPr>
              <w:t xml:space="preserve">as </w:t>
            </w:r>
            <w:r>
              <w:rPr>
                <w:sz w:val="24"/>
                <w:szCs w:val="24"/>
              </w:rPr>
              <w:t xml:space="preserve">evidenced by your ability to: </w:t>
            </w:r>
          </w:p>
          <w:p w14:paraId="6D2EA08C" w14:textId="77777777" w:rsidR="00D26B67" w:rsidRPr="00DB4F59" w:rsidRDefault="00D26B67" w:rsidP="00D26B67">
            <w:pPr>
              <w:rPr>
                <w:sz w:val="24"/>
                <w:szCs w:val="24"/>
              </w:rPr>
            </w:pPr>
          </w:p>
        </w:tc>
        <w:tc>
          <w:tcPr>
            <w:tcW w:w="1710" w:type="dxa"/>
          </w:tcPr>
          <w:p w14:paraId="30D20748" w14:textId="77777777" w:rsidR="00D26B67" w:rsidRDefault="00D26B67">
            <w:pPr>
              <w:spacing w:line="240" w:lineRule="auto"/>
            </w:pPr>
          </w:p>
        </w:tc>
        <w:tc>
          <w:tcPr>
            <w:tcW w:w="4788" w:type="dxa"/>
          </w:tcPr>
          <w:p w14:paraId="046E28B5" w14:textId="6533B0EC" w:rsidR="00D26B67" w:rsidRDefault="00D26B67" w:rsidP="00AE7A3D">
            <w:pPr>
              <w:spacing w:line="240" w:lineRule="auto"/>
            </w:pPr>
            <w:r w:rsidRPr="009155DF">
              <w:rPr>
                <w:sz w:val="24"/>
                <w:szCs w:val="24"/>
              </w:rPr>
              <w:t xml:space="preserve">Write a </w:t>
            </w:r>
            <w:r w:rsidRPr="009155DF">
              <w:rPr>
                <w:b/>
                <w:sz w:val="24"/>
                <w:szCs w:val="24"/>
              </w:rPr>
              <w:t>short scholarly review of the literature</w:t>
            </w:r>
            <w:r w:rsidRPr="009155DF">
              <w:rPr>
                <w:sz w:val="24"/>
                <w:szCs w:val="24"/>
              </w:rPr>
              <w:t xml:space="preserve"> related to your research interests that cogently synthesizes key findings and identifies a potential gap to inform your own research agenda</w:t>
            </w:r>
          </w:p>
        </w:tc>
      </w:tr>
      <w:tr w:rsidR="00D26B67" w14:paraId="33D6381F" w14:textId="77777777">
        <w:trPr>
          <w:cantSplit/>
        </w:trPr>
        <w:tc>
          <w:tcPr>
            <w:tcW w:w="4518" w:type="dxa"/>
          </w:tcPr>
          <w:p w14:paraId="076937D0" w14:textId="77777777" w:rsidR="00D26B67" w:rsidRPr="00F071E6" w:rsidRDefault="00D26B67" w:rsidP="00D26B67">
            <w:pPr>
              <w:rPr>
                <w:sz w:val="24"/>
                <w:szCs w:val="24"/>
              </w:rPr>
            </w:pPr>
            <w:r>
              <w:rPr>
                <w:sz w:val="24"/>
                <w:szCs w:val="24"/>
              </w:rPr>
              <w:t xml:space="preserve">5. </w:t>
            </w:r>
            <w:r w:rsidRPr="00F071E6">
              <w:rPr>
                <w:sz w:val="24"/>
                <w:szCs w:val="24"/>
              </w:rPr>
              <w:t xml:space="preserve">You will situate your reading and writing practices in relevant disciplines and communities of practices </w:t>
            </w:r>
            <w:r w:rsidRPr="00DB4F59">
              <w:rPr>
                <w:sz w:val="24"/>
                <w:szCs w:val="24"/>
              </w:rPr>
              <w:t xml:space="preserve">as </w:t>
            </w:r>
            <w:r>
              <w:rPr>
                <w:sz w:val="24"/>
                <w:szCs w:val="24"/>
              </w:rPr>
              <w:t>evidenced</w:t>
            </w:r>
            <w:r w:rsidRPr="00DB4F59">
              <w:rPr>
                <w:sz w:val="24"/>
                <w:szCs w:val="24"/>
              </w:rPr>
              <w:t xml:space="preserve"> by:</w:t>
            </w:r>
          </w:p>
          <w:p w14:paraId="180249C9" w14:textId="77777777" w:rsidR="00D26B67" w:rsidRPr="00DB4F59" w:rsidRDefault="00D26B67" w:rsidP="00D26B67">
            <w:pPr>
              <w:rPr>
                <w:sz w:val="24"/>
                <w:szCs w:val="24"/>
              </w:rPr>
            </w:pPr>
          </w:p>
        </w:tc>
        <w:tc>
          <w:tcPr>
            <w:tcW w:w="1710" w:type="dxa"/>
          </w:tcPr>
          <w:p w14:paraId="2AD55673" w14:textId="77777777" w:rsidR="00D26B67" w:rsidRDefault="00D26B67">
            <w:pPr>
              <w:spacing w:line="240" w:lineRule="auto"/>
            </w:pPr>
          </w:p>
        </w:tc>
        <w:tc>
          <w:tcPr>
            <w:tcW w:w="4788" w:type="dxa"/>
          </w:tcPr>
          <w:p w14:paraId="5562369E" w14:textId="6EEAF171" w:rsidR="00D26B67" w:rsidRDefault="00D26B67" w:rsidP="00AE7A3D">
            <w:pPr>
              <w:spacing w:line="240" w:lineRule="auto"/>
            </w:pPr>
            <w:r>
              <w:rPr>
                <w:sz w:val="24"/>
                <w:szCs w:val="24"/>
              </w:rPr>
              <w:t xml:space="preserve">Construct an </w:t>
            </w:r>
            <w:r w:rsidRPr="009155DF">
              <w:rPr>
                <w:b/>
                <w:sz w:val="24"/>
                <w:szCs w:val="24"/>
              </w:rPr>
              <w:t>idea map and an author map</w:t>
            </w:r>
            <w:r>
              <w:rPr>
                <w:sz w:val="24"/>
                <w:szCs w:val="24"/>
              </w:rPr>
              <w:t xml:space="preserve"> that organizes key research in your area of interest and use this to create and reflect on </w:t>
            </w:r>
            <w:r w:rsidRPr="009155DF">
              <w:rPr>
                <w:b/>
                <w:sz w:val="24"/>
                <w:szCs w:val="24"/>
              </w:rPr>
              <w:t>your guest list</w:t>
            </w:r>
            <w:r>
              <w:rPr>
                <w:sz w:val="24"/>
                <w:szCs w:val="24"/>
              </w:rPr>
              <w:t xml:space="preserve"> for a hypothetical scholarly dinner party</w:t>
            </w:r>
          </w:p>
        </w:tc>
      </w:tr>
      <w:tr w:rsidR="00D26B67" w14:paraId="793819F2" w14:textId="77777777">
        <w:trPr>
          <w:cantSplit/>
        </w:trPr>
        <w:tc>
          <w:tcPr>
            <w:tcW w:w="4518" w:type="dxa"/>
          </w:tcPr>
          <w:p w14:paraId="3728CD47" w14:textId="77777777" w:rsidR="00D26B67" w:rsidRPr="00F071E6" w:rsidRDefault="00D26B67" w:rsidP="00D26B67">
            <w:pPr>
              <w:rPr>
                <w:sz w:val="24"/>
                <w:szCs w:val="24"/>
              </w:rPr>
            </w:pPr>
            <w:r>
              <w:rPr>
                <w:sz w:val="24"/>
                <w:szCs w:val="24"/>
              </w:rPr>
              <w:t xml:space="preserve">6. </w:t>
            </w:r>
            <w:r w:rsidRPr="00F071E6">
              <w:rPr>
                <w:sz w:val="24"/>
                <w:szCs w:val="24"/>
              </w:rPr>
              <w:t xml:space="preserve">You will reflect on your own emerging identity </w:t>
            </w:r>
            <w:r>
              <w:rPr>
                <w:sz w:val="24"/>
                <w:szCs w:val="24"/>
              </w:rPr>
              <w:t xml:space="preserve">and positionality </w:t>
            </w:r>
            <w:r w:rsidRPr="00F071E6">
              <w:rPr>
                <w:sz w:val="24"/>
                <w:szCs w:val="24"/>
              </w:rPr>
              <w:t xml:space="preserve">as an academic scholar </w:t>
            </w:r>
            <w:r>
              <w:rPr>
                <w:sz w:val="24"/>
                <w:szCs w:val="24"/>
              </w:rPr>
              <w:t>as demonstrated by your ability to:</w:t>
            </w:r>
          </w:p>
          <w:p w14:paraId="00F18024" w14:textId="77777777" w:rsidR="00D26B67" w:rsidRPr="00DB4F59" w:rsidRDefault="00D26B67" w:rsidP="00D26B67">
            <w:pPr>
              <w:rPr>
                <w:sz w:val="24"/>
                <w:szCs w:val="24"/>
              </w:rPr>
            </w:pPr>
          </w:p>
        </w:tc>
        <w:tc>
          <w:tcPr>
            <w:tcW w:w="1710" w:type="dxa"/>
          </w:tcPr>
          <w:p w14:paraId="4BCD8AC4" w14:textId="77777777" w:rsidR="00D26B67" w:rsidRDefault="00D26B67">
            <w:pPr>
              <w:spacing w:line="240" w:lineRule="auto"/>
            </w:pPr>
          </w:p>
        </w:tc>
        <w:tc>
          <w:tcPr>
            <w:tcW w:w="4788" w:type="dxa"/>
          </w:tcPr>
          <w:p w14:paraId="2751690F" w14:textId="4CA9BD85" w:rsidR="00D26B67" w:rsidRDefault="00D26B67" w:rsidP="00AE7A3D">
            <w:pPr>
              <w:spacing w:line="240" w:lineRule="auto"/>
            </w:pPr>
            <w:r>
              <w:rPr>
                <w:sz w:val="24"/>
                <w:szCs w:val="24"/>
              </w:rPr>
              <w:t>C</w:t>
            </w:r>
            <w:r w:rsidRPr="00F071E6">
              <w:rPr>
                <w:sz w:val="24"/>
                <w:szCs w:val="24"/>
              </w:rPr>
              <w:t xml:space="preserve">ompose </w:t>
            </w:r>
            <w:r w:rsidRPr="00B3129A">
              <w:rPr>
                <w:b/>
                <w:sz w:val="24"/>
                <w:szCs w:val="24"/>
              </w:rPr>
              <w:t>three integrated reflections on Becoming a Scholar</w:t>
            </w:r>
            <w:r w:rsidRPr="00F071E6">
              <w:rPr>
                <w:sz w:val="24"/>
                <w:szCs w:val="24"/>
              </w:rPr>
              <w:t xml:space="preserve"> over the course</w:t>
            </w:r>
            <w:r>
              <w:rPr>
                <w:sz w:val="24"/>
                <w:szCs w:val="24"/>
              </w:rPr>
              <w:t xml:space="preserve"> of the semester (Week 1, Week 7</w:t>
            </w:r>
            <w:r w:rsidRPr="00F071E6">
              <w:rPr>
                <w:sz w:val="24"/>
                <w:szCs w:val="24"/>
              </w:rPr>
              <w:t>, and Week 14).</w:t>
            </w:r>
          </w:p>
        </w:tc>
      </w:tr>
      <w:tr w:rsidR="00D26B67" w14:paraId="401D7DEB" w14:textId="77777777">
        <w:trPr>
          <w:cantSplit/>
        </w:trPr>
        <w:tc>
          <w:tcPr>
            <w:tcW w:w="4518" w:type="dxa"/>
          </w:tcPr>
          <w:p w14:paraId="29E8361C" w14:textId="77777777" w:rsidR="00D26B67" w:rsidRPr="00F071E6" w:rsidRDefault="00D26B67" w:rsidP="00D26B67">
            <w:pPr>
              <w:rPr>
                <w:sz w:val="24"/>
                <w:szCs w:val="24"/>
              </w:rPr>
            </w:pPr>
            <w:r w:rsidRPr="00F071E6">
              <w:rPr>
                <w:sz w:val="24"/>
                <w:szCs w:val="24"/>
              </w:rPr>
              <w:t xml:space="preserve">7. You will contribute to mutually beneficial discussions with faculty and peers about how to successfully negotiate the professional practices of educational research and publishing communities as </w:t>
            </w:r>
            <w:r>
              <w:rPr>
                <w:sz w:val="24"/>
                <w:szCs w:val="24"/>
              </w:rPr>
              <w:t xml:space="preserve">evidenced by your ability to: </w:t>
            </w:r>
            <w:r w:rsidRPr="00F071E6">
              <w:rPr>
                <w:sz w:val="24"/>
                <w:szCs w:val="24"/>
              </w:rPr>
              <w:t xml:space="preserve"> </w:t>
            </w:r>
          </w:p>
          <w:p w14:paraId="762032E8" w14:textId="77777777" w:rsidR="00D26B67" w:rsidRPr="00DB4F59" w:rsidRDefault="00D26B67" w:rsidP="00D26B67">
            <w:pPr>
              <w:rPr>
                <w:sz w:val="24"/>
                <w:szCs w:val="24"/>
              </w:rPr>
            </w:pPr>
          </w:p>
        </w:tc>
        <w:tc>
          <w:tcPr>
            <w:tcW w:w="1710" w:type="dxa"/>
          </w:tcPr>
          <w:p w14:paraId="4C4DEFFB" w14:textId="77777777" w:rsidR="00D26B67" w:rsidRDefault="00D26B67">
            <w:pPr>
              <w:spacing w:line="240" w:lineRule="auto"/>
            </w:pPr>
          </w:p>
        </w:tc>
        <w:tc>
          <w:tcPr>
            <w:tcW w:w="4788" w:type="dxa"/>
          </w:tcPr>
          <w:p w14:paraId="20D94B58" w14:textId="77777777" w:rsidR="00D26B67" w:rsidRDefault="00D26B67" w:rsidP="00D26B67">
            <w:pPr>
              <w:rPr>
                <w:sz w:val="24"/>
                <w:szCs w:val="24"/>
              </w:rPr>
            </w:pPr>
            <w:r>
              <w:rPr>
                <w:sz w:val="24"/>
                <w:szCs w:val="24"/>
              </w:rPr>
              <w:t xml:space="preserve">Actively </w:t>
            </w:r>
            <w:r w:rsidRPr="00B3129A">
              <w:rPr>
                <w:b/>
                <w:sz w:val="24"/>
                <w:szCs w:val="24"/>
              </w:rPr>
              <w:t>participate in weekly conversations</w:t>
            </w:r>
            <w:r w:rsidRPr="00F071E6">
              <w:rPr>
                <w:sz w:val="24"/>
                <w:szCs w:val="24"/>
              </w:rPr>
              <w:t xml:space="preserve"> by contributing to </w:t>
            </w:r>
            <w:r>
              <w:rPr>
                <w:sz w:val="24"/>
                <w:szCs w:val="24"/>
              </w:rPr>
              <w:t xml:space="preserve">and </w:t>
            </w:r>
            <w:r w:rsidRPr="00F071E6">
              <w:rPr>
                <w:sz w:val="24"/>
                <w:szCs w:val="24"/>
              </w:rPr>
              <w:t>offering feedback</w:t>
            </w:r>
            <w:r>
              <w:rPr>
                <w:sz w:val="24"/>
                <w:szCs w:val="24"/>
              </w:rPr>
              <w:t xml:space="preserve"> on others’ oral and/or written contributions </w:t>
            </w:r>
          </w:p>
          <w:p w14:paraId="4B2C3733" w14:textId="77777777" w:rsidR="00D26B67" w:rsidRDefault="00D26B67" w:rsidP="00D26B67">
            <w:pPr>
              <w:rPr>
                <w:sz w:val="24"/>
                <w:szCs w:val="24"/>
              </w:rPr>
            </w:pPr>
          </w:p>
          <w:p w14:paraId="64FC5A35" w14:textId="7A4E7D42" w:rsidR="00D26B67" w:rsidRDefault="00D26B67" w:rsidP="00D26B67">
            <w:pPr>
              <w:spacing w:line="240" w:lineRule="auto"/>
            </w:pPr>
            <w:r>
              <w:rPr>
                <w:sz w:val="24"/>
                <w:szCs w:val="24"/>
              </w:rPr>
              <w:t xml:space="preserve">Work with classmates to collaboratively </w:t>
            </w:r>
            <w:r w:rsidRPr="00B3129A">
              <w:rPr>
                <w:b/>
                <w:sz w:val="24"/>
                <w:szCs w:val="24"/>
              </w:rPr>
              <w:t>prepare one section of an academic reading and writing resource</w:t>
            </w:r>
            <w:r>
              <w:rPr>
                <w:sz w:val="24"/>
                <w:szCs w:val="24"/>
              </w:rPr>
              <w:t xml:space="preserve"> to be shared with other doctoral students in our program</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5A2E329F" w14:textId="77777777" w:rsidR="00D26B67" w:rsidRDefault="00D26B67" w:rsidP="00C629CB">
            <w:pPr>
              <w:pStyle w:val="ListParagraph"/>
              <w:numPr>
                <w:ilvl w:val="0"/>
                <w:numId w:val="8"/>
              </w:numPr>
              <w:spacing w:line="240" w:lineRule="auto"/>
            </w:pPr>
            <w:bookmarkStart w:id="32" w:name="outline"/>
            <w:bookmarkEnd w:id="32"/>
            <w:r>
              <w:t>Overview of Academic Research in the Social Sciences</w:t>
            </w:r>
          </w:p>
          <w:p w14:paraId="6A181B8A" w14:textId="0EA4256A" w:rsidR="00D26B67" w:rsidRDefault="00D26B67" w:rsidP="00C74128">
            <w:pPr>
              <w:pStyle w:val="ListParagraph"/>
              <w:numPr>
                <w:ilvl w:val="7"/>
                <w:numId w:val="8"/>
              </w:numPr>
              <w:spacing w:line="240" w:lineRule="auto"/>
            </w:pPr>
            <w:r>
              <w:t>Understanding Academic Writing</w:t>
            </w:r>
          </w:p>
          <w:p w14:paraId="0D634A4D" w14:textId="4A9AB25F" w:rsidR="00C74128" w:rsidRDefault="00C74128" w:rsidP="00C74128">
            <w:pPr>
              <w:pStyle w:val="ListParagraph"/>
              <w:numPr>
                <w:ilvl w:val="7"/>
                <w:numId w:val="8"/>
              </w:numPr>
              <w:spacing w:line="240" w:lineRule="auto"/>
            </w:pPr>
            <w:r>
              <w:t>Understanding Academic Reading and Its Connection to Academic Writing</w:t>
            </w:r>
          </w:p>
          <w:p w14:paraId="4656DCD9" w14:textId="06953352" w:rsidR="00C74128" w:rsidRDefault="00C74128" w:rsidP="00C74128">
            <w:pPr>
              <w:pStyle w:val="ListParagraph"/>
              <w:numPr>
                <w:ilvl w:val="7"/>
                <w:numId w:val="8"/>
              </w:numPr>
              <w:spacing w:line="240" w:lineRule="auto"/>
            </w:pPr>
            <w:r>
              <w:t>Applying Academic Reading:  Tools and Strategies for Understanding Research</w:t>
            </w:r>
          </w:p>
          <w:p w14:paraId="4877DAE3" w14:textId="77777777" w:rsidR="00C74128" w:rsidRDefault="00C74128" w:rsidP="00C629CB">
            <w:pPr>
              <w:pStyle w:val="ListParagraph"/>
              <w:numPr>
                <w:ilvl w:val="0"/>
                <w:numId w:val="8"/>
              </w:numPr>
              <w:spacing w:line="240" w:lineRule="auto"/>
            </w:pPr>
            <w:r>
              <w:t>Understanding Communities of Practice and the Role of Academic Discourse</w:t>
            </w:r>
          </w:p>
          <w:p w14:paraId="553AD79D" w14:textId="77777777" w:rsidR="00C74128" w:rsidRDefault="00C74128" w:rsidP="00C74128">
            <w:pPr>
              <w:pStyle w:val="ListParagraph"/>
              <w:numPr>
                <w:ilvl w:val="0"/>
                <w:numId w:val="8"/>
              </w:numPr>
              <w:spacing w:line="240" w:lineRule="auto"/>
            </w:pPr>
            <w:r>
              <w:t>Finding Your Voice</w:t>
            </w:r>
          </w:p>
          <w:p w14:paraId="602DE8C8" w14:textId="77777777" w:rsidR="00C74128" w:rsidRDefault="00C74128" w:rsidP="00C74128">
            <w:pPr>
              <w:pStyle w:val="ListParagraph"/>
              <w:numPr>
                <w:ilvl w:val="0"/>
                <w:numId w:val="8"/>
              </w:numPr>
              <w:spacing w:line="240" w:lineRule="auto"/>
            </w:pPr>
            <w:r w:rsidRPr="004F27C6">
              <w:t>Reading and Deconstructing Argument Structures</w:t>
            </w:r>
          </w:p>
          <w:p w14:paraId="5B9B8DF9" w14:textId="70278360" w:rsidR="00C74128" w:rsidRDefault="00C74128" w:rsidP="00C74128">
            <w:pPr>
              <w:pStyle w:val="ListParagraph"/>
              <w:numPr>
                <w:ilvl w:val="7"/>
                <w:numId w:val="8"/>
              </w:numPr>
              <w:spacing w:line="240" w:lineRule="auto"/>
            </w:pPr>
            <w:r>
              <w:t xml:space="preserve"> </w:t>
            </w:r>
            <w:r w:rsidRPr="004F27C6">
              <w:t>Writing Research-Based Argumentation Structures</w:t>
            </w:r>
          </w:p>
          <w:p w14:paraId="330F91A6" w14:textId="6D3371AC" w:rsidR="00C74128" w:rsidRPr="004F27C6" w:rsidRDefault="00C74128" w:rsidP="00C74128">
            <w:pPr>
              <w:pStyle w:val="ListParagraph"/>
              <w:numPr>
                <w:ilvl w:val="7"/>
                <w:numId w:val="8"/>
              </w:numPr>
            </w:pPr>
            <w:r w:rsidRPr="004F27C6">
              <w:t xml:space="preserve">Weaving A Logic Thread Through Your Writing </w:t>
            </w:r>
          </w:p>
          <w:p w14:paraId="4B9976D1" w14:textId="77777777" w:rsidR="00C74128" w:rsidRDefault="00C74128" w:rsidP="00C74128">
            <w:pPr>
              <w:pStyle w:val="ListParagraph"/>
              <w:numPr>
                <w:ilvl w:val="0"/>
                <w:numId w:val="8"/>
              </w:numPr>
              <w:spacing w:line="240" w:lineRule="auto"/>
            </w:pPr>
            <w:r w:rsidRPr="004F27C6">
              <w:t>Interpreting the Research</w:t>
            </w:r>
          </w:p>
          <w:p w14:paraId="0AB31323" w14:textId="330F60F8" w:rsidR="00C74128" w:rsidRDefault="00C74128" w:rsidP="00C74128">
            <w:pPr>
              <w:pStyle w:val="ListParagraph"/>
              <w:numPr>
                <w:ilvl w:val="0"/>
                <w:numId w:val="8"/>
              </w:numPr>
              <w:spacing w:line="240" w:lineRule="auto"/>
            </w:pPr>
            <w:r>
              <w:t>Writing a Literature Review</w:t>
            </w:r>
          </w:p>
        </w:tc>
      </w:tr>
    </w:tbl>
    <w:p w14:paraId="62234A1C" w14:textId="77777777" w:rsidR="00F64260" w:rsidRDefault="00F64260">
      <w:pPr>
        <w:spacing w:line="240" w:lineRule="auto"/>
      </w:pPr>
    </w:p>
    <w:p w14:paraId="2480EEC2" w14:textId="699CCB71"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2"/>
        <w:gridCol w:w="3189"/>
        <w:gridCol w:w="117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3" w:name="_Signature"/>
        <w:bookmarkEnd w:id="33"/>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27208862" w:rsidR="00F64260" w:rsidRDefault="002009A3" w:rsidP="00293639">
            <w:pPr>
              <w:spacing w:line="240" w:lineRule="auto"/>
            </w:pPr>
            <w:r>
              <w:t>Patricia Cordeiro</w:t>
            </w:r>
          </w:p>
        </w:tc>
        <w:tc>
          <w:tcPr>
            <w:tcW w:w="3279" w:type="dxa"/>
            <w:vAlign w:val="center"/>
          </w:tcPr>
          <w:p w14:paraId="3874B8F9" w14:textId="43A5F473" w:rsidR="00F64260" w:rsidRDefault="00ED10F6" w:rsidP="00293639">
            <w:pPr>
              <w:spacing w:line="240" w:lineRule="auto"/>
            </w:pPr>
            <w:r>
              <w:t xml:space="preserve">Program Director of </w:t>
            </w:r>
            <w:r w:rsidR="00C74128">
              <w:t>Educational Doctoral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4F629E2C" w:rsidR="00F64260" w:rsidRDefault="00C74128" w:rsidP="00293639">
            <w:pPr>
              <w:spacing w:line="240" w:lineRule="auto"/>
            </w:pPr>
            <w:r>
              <w:t>11/7/19</w:t>
            </w:r>
          </w:p>
        </w:tc>
      </w:tr>
      <w:tr w:rsidR="00F64260" w14:paraId="0072B50B" w14:textId="77777777">
        <w:trPr>
          <w:cantSplit/>
          <w:trHeight w:val="489"/>
        </w:trPr>
        <w:tc>
          <w:tcPr>
            <w:tcW w:w="3279" w:type="dxa"/>
            <w:vAlign w:val="center"/>
          </w:tcPr>
          <w:p w14:paraId="6D613CB9" w14:textId="4F431EB1" w:rsidR="00F64260" w:rsidRDefault="00C74128" w:rsidP="00293639">
            <w:pPr>
              <w:spacing w:line="240" w:lineRule="auto"/>
            </w:pPr>
            <w:r>
              <w:t>N/A</w:t>
            </w: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252B319A" w:rsidR="00F64260" w:rsidRDefault="00C74128" w:rsidP="00293639">
            <w:pPr>
              <w:spacing w:line="240" w:lineRule="auto"/>
            </w:pPr>
            <w:r>
              <w:t>Jeannine Dingus-Eason</w:t>
            </w:r>
          </w:p>
        </w:tc>
        <w:tc>
          <w:tcPr>
            <w:tcW w:w="3279" w:type="dxa"/>
            <w:vAlign w:val="center"/>
          </w:tcPr>
          <w:p w14:paraId="25000859" w14:textId="71D7CE37" w:rsidR="00F64260" w:rsidRDefault="00ED10F6" w:rsidP="00293639">
            <w:pPr>
              <w:spacing w:line="240" w:lineRule="auto"/>
            </w:pPr>
            <w:r>
              <w:t xml:space="preserve">Dean of </w:t>
            </w:r>
            <w:r w:rsidR="00C74128">
              <w:t>Feinstein School of Educational Studies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4" w:name="acknowledge"/>
        <w:bookmarkEnd w:id="34"/>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3B4FA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5" w:name="Signature_2"/>
            <w:bookmarkEnd w:id="35"/>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40E5A360" w:rsidR="00F64260" w:rsidRDefault="00C74128" w:rsidP="00120C12">
            <w:pPr>
              <w:spacing w:line="240" w:lineRule="auto"/>
            </w:pPr>
            <w:r>
              <w:t>Leslie Schuster</w:t>
            </w:r>
          </w:p>
        </w:tc>
        <w:tc>
          <w:tcPr>
            <w:tcW w:w="3279" w:type="dxa"/>
            <w:vAlign w:val="center"/>
          </w:tcPr>
          <w:p w14:paraId="78649D71" w14:textId="47EA5331" w:rsidR="00F64260" w:rsidRDefault="00C74128" w:rsidP="00120C12">
            <w:pPr>
              <w:spacing w:line="240" w:lineRule="auto"/>
            </w:pPr>
            <w:r>
              <w:t>Dean of Graduate Studies</w:t>
            </w: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461B" w14:textId="77777777" w:rsidR="003B4FA8" w:rsidRDefault="003B4FA8" w:rsidP="00FA78CA">
      <w:pPr>
        <w:spacing w:line="240" w:lineRule="auto"/>
      </w:pPr>
      <w:r>
        <w:separator/>
      </w:r>
    </w:p>
  </w:endnote>
  <w:endnote w:type="continuationSeparator" w:id="0">
    <w:p w14:paraId="057E3665" w14:textId="77777777" w:rsidR="003B4FA8" w:rsidRDefault="003B4FA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487D32">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487D32">
      <w:rPr>
        <w:b/>
        <w:bCs/>
        <w:noProof/>
        <w:sz w:val="20"/>
      </w:rPr>
      <w:t>6</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C24C8" w14:textId="77777777" w:rsidR="003B4FA8" w:rsidRDefault="003B4FA8" w:rsidP="00FA78CA">
      <w:pPr>
        <w:spacing w:line="240" w:lineRule="auto"/>
      </w:pPr>
      <w:r>
        <w:separator/>
      </w:r>
    </w:p>
  </w:footnote>
  <w:footnote w:type="continuationSeparator" w:id="0">
    <w:p w14:paraId="1839AF41" w14:textId="77777777" w:rsidR="003B4FA8" w:rsidRDefault="003B4FA8"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58302F6A"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D37F16">
      <w:rPr>
        <w:color w:val="4F6228"/>
      </w:rPr>
      <w:t>1920_18 EDP 600 new course</w:t>
    </w:r>
    <w:r w:rsidR="00B609D0">
      <w:rPr>
        <w:color w:val="4F6228"/>
      </w:rPr>
      <w:tab/>
    </w:r>
    <w:r w:rsidR="00B609D0">
      <w:rPr>
        <w:color w:val="4F6228"/>
      </w:rPr>
      <w:tab/>
    </w:r>
    <w:r w:rsidRPr="004254A0">
      <w:rPr>
        <w:color w:val="4F6228"/>
      </w:rPr>
      <w:t>Date Received:</w:t>
    </w:r>
    <w:r w:rsidRPr="004254A0">
      <w:rPr>
        <w:color w:val="4F6228"/>
      </w:rPr>
      <w:tab/>
    </w:r>
    <w:r w:rsidRPr="004254A0">
      <w:rPr>
        <w:color w:val="4F6228"/>
      </w:rPr>
      <w:tab/>
    </w:r>
    <w:r w:rsidR="00D37F16">
      <w:rPr>
        <w:color w:val="4F6228"/>
      </w:rPr>
      <w:t>11/12/19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15F0"/>
    <w:rsid w:val="00053F31"/>
    <w:rsid w:val="000556B3"/>
    <w:rsid w:val="00073DC2"/>
    <w:rsid w:val="000810FF"/>
    <w:rsid w:val="000A36CD"/>
    <w:rsid w:val="000A72E5"/>
    <w:rsid w:val="000D1497"/>
    <w:rsid w:val="000D21F2"/>
    <w:rsid w:val="000D5929"/>
    <w:rsid w:val="000E2CBA"/>
    <w:rsid w:val="001010FA"/>
    <w:rsid w:val="00101BA4"/>
    <w:rsid w:val="001148B3"/>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009A3"/>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687D"/>
    <w:rsid w:val="00334441"/>
    <w:rsid w:val="00345149"/>
    <w:rsid w:val="00376A8B"/>
    <w:rsid w:val="00396528"/>
    <w:rsid w:val="003A45F6"/>
    <w:rsid w:val="003B2F7F"/>
    <w:rsid w:val="003B4A52"/>
    <w:rsid w:val="003B4FA8"/>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87D32"/>
    <w:rsid w:val="004932BC"/>
    <w:rsid w:val="004B1512"/>
    <w:rsid w:val="004D6409"/>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A7885"/>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D045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96578"/>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09D0"/>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74128"/>
    <w:rsid w:val="00C94576"/>
    <w:rsid w:val="00C969FA"/>
    <w:rsid w:val="00C97577"/>
    <w:rsid w:val="00CA71A8"/>
    <w:rsid w:val="00CB4CB9"/>
    <w:rsid w:val="00CC3E7A"/>
    <w:rsid w:val="00CD18DD"/>
    <w:rsid w:val="00D26B67"/>
    <w:rsid w:val="00D37F16"/>
    <w:rsid w:val="00D50FE1"/>
    <w:rsid w:val="00D56C09"/>
    <w:rsid w:val="00D64DF4"/>
    <w:rsid w:val="00D65A71"/>
    <w:rsid w:val="00D65F02"/>
    <w:rsid w:val="00D75FF8"/>
    <w:rsid w:val="00DA1731"/>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 w:val="00FD07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E33C427A-E21B-9B4A-89CE-3944A3E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fuentes_4972/Downloads/Alternate%20Ye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67Z3ZXSPZZWZ-954-194</_dlc_DocId>
    <_dlc_DocIdUrl xmlns="67887a43-7e4d-4c1c-91d7-15e417b1b8ab">
      <Url>https://w3.ric.edu/graduate_committee/_layouts/15/DocIdRedir.aspx?ID=67Z3ZXSPZZWZ-954-194</Url>
      <Description>67Z3ZXSPZZWZ-954-194</Description>
    </_dlc_DocIdUrl>
  </documentManagement>
</p:properties>
</file>

<file path=customXml/itemProps1.xml><?xml version="1.0" encoding="utf-8"?>
<ds:datastoreItem xmlns:ds="http://schemas.openxmlformats.org/officeDocument/2006/customXml" ds:itemID="{C88FE42E-2527-45EF-9FBF-06B53B192AF6}"/>
</file>

<file path=customXml/itemProps2.xml><?xml version="1.0" encoding="utf-8"?>
<ds:datastoreItem xmlns:ds="http://schemas.openxmlformats.org/officeDocument/2006/customXml" ds:itemID="{5F4C1906-9FA0-4841-8478-976FEF93695F}"/>
</file>

<file path=customXml/itemProps3.xml><?xml version="1.0" encoding="utf-8"?>
<ds:datastoreItem xmlns:ds="http://schemas.openxmlformats.org/officeDocument/2006/customXml" ds:itemID="{951F0693-8B37-4BB7-AC11-CA75747A9524}"/>
</file>

<file path=customXml/itemProps4.xml><?xml version="1.0" encoding="utf-8"?>
<ds:datastoreItem xmlns:ds="http://schemas.openxmlformats.org/officeDocument/2006/customXml" ds:itemID="{5DFB1312-8463-41FA-9B17-AA9FD47E50B9}"/>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2019-12-03T12:59:00Z</dcterms:created>
  <dcterms:modified xsi:type="dcterms:W3CDTF">2019-12-03T12:59:00Z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609e1471-ba1a-4ecc-83f1-5bb9cd9d7041</vt:lpwstr>
  </property>
  <property fmtid="{D5CDD505-2E9C-101B-9397-08002B2CF9AE}" pid="4" name="ContentTypeId">
    <vt:lpwstr>0x0101007179858CBB2CCA4D8B30A8DCFFC1B1F1</vt:lpwstr>
  </property>
</Properties>
</file>