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w:t>
      </w:r>
      <w:bookmarkStart w:id="0" w:name="_GoBack"/>
      <w:bookmarkEnd w:id="0"/>
      <w:r w:rsidR="004F6658">
        <w:t xml:space="preserve">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2C6133C2" w:rsidR="00F64260" w:rsidRPr="00A83A6C" w:rsidRDefault="004F2D46" w:rsidP="00B862BF">
            <w:pPr>
              <w:pStyle w:val="Heading5"/>
              <w:rPr>
                <w:b/>
              </w:rPr>
            </w:pPr>
            <w:bookmarkStart w:id="1" w:name="Proposal"/>
            <w:bookmarkEnd w:id="1"/>
            <w:r>
              <w:rPr>
                <w:b/>
              </w:rPr>
              <w:t>SPED 5</w:t>
            </w:r>
            <w:r w:rsidR="009E5AB8">
              <w:rPr>
                <w:b/>
              </w:rPr>
              <w:t>24</w:t>
            </w:r>
            <w:r>
              <w:rPr>
                <w:b/>
              </w:rPr>
              <w:t>:</w:t>
            </w:r>
            <w:r w:rsidR="00A53233">
              <w:rPr>
                <w:b/>
              </w:rPr>
              <w:t xml:space="preserve"> </w:t>
            </w:r>
            <w:r w:rsidR="003A59B8">
              <w:rPr>
                <w:b/>
              </w:rPr>
              <w:t>Literacy instruction</w:t>
            </w:r>
            <w:r w:rsidR="009E5AB8">
              <w:rPr>
                <w:b/>
              </w:rPr>
              <w:t xml:space="preserve">: Adolescents </w:t>
            </w:r>
            <w:r w:rsidR="002202BB">
              <w:rPr>
                <w:b/>
              </w:rPr>
              <w:t>with Mild/Moderate Disabilities</w:t>
            </w:r>
          </w:p>
        </w:tc>
        <w:tc>
          <w:tcPr>
            <w:tcW w:w="131" w:type="pct"/>
            <w:vMerge w:val="restart"/>
          </w:tcPr>
          <w:p w14:paraId="22C82EF7" w14:textId="77777777" w:rsidR="008628B1" w:rsidRPr="008E0FCD" w:rsidRDefault="008628B1" w:rsidP="00345149">
            <w:pPr>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44226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7EE4A80"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DCDBB14" w:rsidR="00F64260" w:rsidRPr="005F2A05" w:rsidRDefault="00F64260" w:rsidP="000A36CD">
            <w:pPr>
              <w:rPr>
                <w:b/>
              </w:rPr>
            </w:pPr>
            <w:bookmarkStart w:id="5" w:name="type"/>
            <w:r w:rsidRPr="005F2A05">
              <w:rPr>
                <w:b/>
              </w:rPr>
              <w:t xml:space="preserve">Course: </w:t>
            </w:r>
            <w:bookmarkEnd w:id="5"/>
            <w:r w:rsidR="0064309F">
              <w:rPr>
                <w:b/>
              </w:rPr>
              <w:t>NEW</w:t>
            </w:r>
            <w:r w:rsidRPr="005F2A05">
              <w:rPr>
                <w:b/>
              </w:rPr>
              <w:t xml:space="preserve"> </w:t>
            </w:r>
            <w:bookmarkStart w:id="6" w:name="delet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7" w:name="Originator"/>
            <w:bookmarkEnd w:id="7"/>
            <w:r>
              <w:rPr>
                <w:b/>
              </w:rPr>
              <w:t>Marie Lynch</w:t>
            </w:r>
          </w:p>
        </w:tc>
        <w:tc>
          <w:tcPr>
            <w:tcW w:w="1210" w:type="pct"/>
            <w:gridSpan w:val="2"/>
          </w:tcPr>
          <w:p w14:paraId="561C556F" w14:textId="77777777" w:rsidR="00F64260" w:rsidRPr="00946B20" w:rsidRDefault="0044226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8" w:name="home_dept"/>
            <w:bookmarkEnd w:id="8"/>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5B4EE7CF" w14:textId="4FA6DFDB" w:rsidR="00FF313D" w:rsidRDefault="00FF313D" w:rsidP="00FF313D">
            <w:r w:rsidRPr="009E5AB8">
              <w:t>The</w:t>
            </w:r>
            <w:r w:rsidRPr="00485EDA">
              <w:rPr>
                <w:b/>
              </w:rPr>
              <w:t xml:space="preserve"> </w:t>
            </w:r>
            <w:r w:rsidR="003A59B8" w:rsidRPr="00E55768">
              <w:rPr>
                <w:color w:val="000000"/>
                <w:u w:val="single"/>
                <w:bdr w:val="none" w:sz="0" w:space="0" w:color="auto" w:frame="1"/>
              </w:rPr>
              <w:t>Special Education M.Ed.—with Concentration</w:t>
            </w:r>
            <w:r w:rsidR="003A59B8">
              <w:rPr>
                <w:color w:val="000000"/>
                <w:u w:val="single"/>
                <w:bdr w:val="none" w:sz="0" w:space="0" w:color="auto" w:frame="1"/>
              </w:rPr>
              <w:t xml:space="preserve"> </w:t>
            </w:r>
            <w:r w:rsidR="003A59B8" w:rsidRPr="00E55768">
              <w:rPr>
                <w:bCs/>
                <w:color w:val="000000"/>
                <w:u w:val="single"/>
              </w:rPr>
              <w:t>in Elementary or Secondary Mild/Moderate</w:t>
            </w:r>
            <w:r w:rsidR="003A59B8">
              <w:rPr>
                <w:bCs/>
                <w:color w:val="000000"/>
                <w:u w:val="single"/>
              </w:rPr>
              <w:t xml:space="preserve"> Disabilities</w:t>
            </w:r>
            <w:r w:rsidRPr="009E5AB8">
              <w:t xml:space="preserve"> </w:t>
            </w:r>
            <w:r w:rsidR="002D1C64">
              <w:t xml:space="preserve">program </w:t>
            </w:r>
            <w:r w:rsidRPr="009E5AB8">
              <w:t xml:space="preserve">has </w:t>
            </w:r>
            <w:r w:rsidR="002D1C64">
              <w:t xml:space="preserve">been </w:t>
            </w:r>
            <w:r w:rsidRPr="009E5AB8">
              <w:t xml:space="preserve">redesigned/revised </w:t>
            </w:r>
            <w:r>
              <w:t xml:space="preserve">to better prepare special educators for the field.  This is also part of an overall FSEHD response to recent recommendations from the Rhode Island Department of Education. </w:t>
            </w:r>
          </w:p>
          <w:p w14:paraId="7D1FCE88" w14:textId="77777777" w:rsidR="00FF313D" w:rsidRDefault="00FF313D" w:rsidP="00FF313D"/>
          <w:p w14:paraId="48432B8C" w14:textId="43D14CD6" w:rsidR="00FF313D" w:rsidRDefault="00FF313D" w:rsidP="00FF313D">
            <w:pPr>
              <w:rPr>
                <w:b/>
              </w:rPr>
            </w:pPr>
            <w:r>
              <w:t xml:space="preserve">Thus, the purpose of this proposal is to summarize course </w:t>
            </w:r>
            <w:r w:rsidR="00D233BB">
              <w:t>additions</w:t>
            </w:r>
            <w:r>
              <w:t xml:space="preserve"> in the </w:t>
            </w:r>
            <w:r w:rsidR="003A59B8" w:rsidRPr="00E55768">
              <w:rPr>
                <w:color w:val="000000"/>
                <w:u w:val="single"/>
                <w:bdr w:val="none" w:sz="0" w:space="0" w:color="auto" w:frame="1"/>
              </w:rPr>
              <w:t>Special Education M.Ed.—with Concentration</w:t>
            </w:r>
            <w:r w:rsidR="003A59B8">
              <w:rPr>
                <w:color w:val="000000"/>
                <w:u w:val="single"/>
                <w:bdr w:val="none" w:sz="0" w:space="0" w:color="auto" w:frame="1"/>
              </w:rPr>
              <w:t xml:space="preserve"> </w:t>
            </w:r>
            <w:r w:rsidR="003A59B8" w:rsidRPr="00E55768">
              <w:rPr>
                <w:bCs/>
                <w:color w:val="000000"/>
                <w:u w:val="single"/>
              </w:rPr>
              <w:t>in Secondary Mild/Moderate</w:t>
            </w:r>
            <w:r w:rsidR="003A59B8">
              <w:rPr>
                <w:bCs/>
                <w:color w:val="000000"/>
                <w:u w:val="single"/>
              </w:rPr>
              <w:t xml:space="preserve"> Disabilities</w:t>
            </w:r>
            <w:r w:rsidR="009E5AB8">
              <w:t xml:space="preserve"> in reading/writing.</w:t>
            </w:r>
            <w:r>
              <w:t xml:space="preserve"> </w:t>
            </w:r>
          </w:p>
          <w:p w14:paraId="41A05A71" w14:textId="77777777" w:rsidR="004F2D46" w:rsidRDefault="004F2D46" w:rsidP="004F2D46"/>
          <w:p w14:paraId="3FBA7B31" w14:textId="08FBF330" w:rsidR="004F2D46" w:rsidRPr="004D1321" w:rsidRDefault="004F2D46" w:rsidP="004F2D46">
            <w:r>
              <w:t>This course</w:t>
            </w:r>
            <w:r w:rsidR="009E5AB8">
              <w:t xml:space="preserve"> </w:t>
            </w:r>
            <w:r w:rsidR="002202BB">
              <w:t xml:space="preserve">has </w:t>
            </w:r>
            <w:r w:rsidR="00FF313D">
              <w:t xml:space="preserve">been </w:t>
            </w:r>
            <w:r w:rsidR="0064309F">
              <w:t>add</w:t>
            </w:r>
            <w:r w:rsidR="00FF313D">
              <w:t xml:space="preserve">ed </w:t>
            </w:r>
            <w:r w:rsidR="002202BB">
              <w:t xml:space="preserve">to reflect the need for </w:t>
            </w:r>
            <w:r w:rsidR="009E5AB8">
              <w:t>reading/</w:t>
            </w:r>
            <w:r w:rsidR="002202BB">
              <w:t xml:space="preserve">writing </w:t>
            </w:r>
            <w:r w:rsidR="009E5AB8">
              <w:t xml:space="preserve">skill development </w:t>
            </w:r>
            <w:r w:rsidR="003A59B8">
              <w:t xml:space="preserve">in the content areas </w:t>
            </w:r>
            <w:r w:rsidR="009E5AB8">
              <w:t>for adolescents with disabilities</w:t>
            </w:r>
            <w:r w:rsidR="00FF313D">
              <w:t xml:space="preserve">. This </w:t>
            </w:r>
            <w:r w:rsidR="00B75740">
              <w:t xml:space="preserve">will </w:t>
            </w:r>
            <w:r w:rsidR="00FF313D">
              <w:t>continue to</w:t>
            </w:r>
            <w:r w:rsidR="00B75740">
              <w:t xml:space="preserve"> be a core course in the </w:t>
            </w:r>
            <w:r w:rsidR="003A59B8" w:rsidRPr="00E55768">
              <w:rPr>
                <w:color w:val="000000"/>
                <w:u w:val="single"/>
                <w:bdr w:val="none" w:sz="0" w:space="0" w:color="auto" w:frame="1"/>
              </w:rPr>
              <w:t>Special Education M.Ed.—with Concentration</w:t>
            </w:r>
            <w:r w:rsidR="003A59B8">
              <w:rPr>
                <w:color w:val="000000"/>
                <w:u w:val="single"/>
                <w:bdr w:val="none" w:sz="0" w:space="0" w:color="auto" w:frame="1"/>
              </w:rPr>
              <w:t xml:space="preserve"> </w:t>
            </w:r>
            <w:r w:rsidR="003A59B8" w:rsidRPr="00E55768">
              <w:rPr>
                <w:bCs/>
                <w:color w:val="000000"/>
                <w:u w:val="single"/>
              </w:rPr>
              <w:t>in Secondary Mild/Moderate</w:t>
            </w:r>
            <w:r w:rsidR="003A59B8">
              <w:rPr>
                <w:bCs/>
                <w:color w:val="000000"/>
                <w:u w:val="single"/>
              </w:rPr>
              <w:t xml:space="preserve"> Disabilities</w:t>
            </w:r>
            <w:r w:rsidR="003A59B8" w:rsidRPr="00E55768">
              <w:rPr>
                <w:bCs/>
                <w:color w:val="000000"/>
              </w:rPr>
              <w:t xml:space="preserve"> </w:t>
            </w:r>
            <w:r w:rsidR="00B75740">
              <w:t>program</w:t>
            </w:r>
            <w:r w:rsidR="002202BB">
              <w:t>.</w:t>
            </w:r>
            <w:r w:rsidR="00B75740">
              <w:t xml:space="preserve">  </w:t>
            </w:r>
            <w:r>
              <w:t xml:space="preserve">Enrollment in </w:t>
            </w:r>
            <w:r w:rsidR="00B75740">
              <w:t>the M.Ed. in Special Education Certification Program Secondary</w:t>
            </w:r>
            <w:r>
              <w:t xml:space="preserve"> will be required.  </w:t>
            </w:r>
          </w:p>
          <w:p w14:paraId="48BFECDD" w14:textId="24C5E752" w:rsidR="00F64260" w:rsidRDefault="00F64260">
            <w:pPr>
              <w:rPr>
                <w:b/>
              </w:rPr>
            </w:pPr>
          </w:p>
          <w:p w14:paraId="05EEBBB2" w14:textId="44AD2FF6"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53BC367" w:rsidR="000357A5" w:rsidRPr="00B605CE" w:rsidRDefault="003B04A1" w:rsidP="00B862BF">
            <w:pPr>
              <w:rPr>
                <w:b/>
              </w:rPr>
            </w:pPr>
            <w:r w:rsidRPr="00870690">
              <w:t>Positive impact is expected with core knowledge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7C2A7B5" w:rsidR="000357A5" w:rsidRPr="00B605CE" w:rsidRDefault="00B75740" w:rsidP="00887F08">
            <w:pPr>
              <w:rPr>
                <w:b/>
              </w:rPr>
            </w:pPr>
            <w:r>
              <w:t xml:space="preserve">M.Ed. in </w:t>
            </w:r>
            <w:r w:rsidR="00FF313D">
              <w:t>Exceptional Learning Needs</w:t>
            </w:r>
            <w:r>
              <w:t xml:space="preserve"> program.</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1" w:name="faculty"/>
            <w:bookmarkEnd w:id="11"/>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442264"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2" w:name="library"/>
            <w:bookmarkEnd w:id="12"/>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442264"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3" w:name="technology"/>
            <w:bookmarkEnd w:id="13"/>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442264"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4" w:name="facilities"/>
            <w:bookmarkEnd w:id="14"/>
            <w:r>
              <w:rPr>
                <w:b/>
              </w:rPr>
              <w:t>None</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5939127" w:rsidR="003B04A1" w:rsidRPr="00B649C4" w:rsidRDefault="003B04A1" w:rsidP="003B04A1">
            <w:pPr>
              <w:rPr>
                <w:b/>
              </w:rPr>
            </w:pPr>
            <w:bookmarkStart w:id="15" w:name="prog_impact"/>
            <w:bookmarkEnd w:id="15"/>
            <w:r>
              <w:rPr>
                <w:b/>
              </w:rPr>
              <w:t>S</w:t>
            </w:r>
            <w:r w:rsidR="002202BB">
              <w:rPr>
                <w:b/>
              </w:rPr>
              <w:t>pring</w:t>
            </w:r>
            <w:r>
              <w:rPr>
                <w:b/>
              </w:rPr>
              <w:t xml:space="preserve"> 20</w:t>
            </w:r>
            <w:r w:rsidR="002202BB">
              <w:rPr>
                <w:b/>
              </w:rPr>
              <w:t>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13D04892" w:rsidR="003B04A1" w:rsidRPr="00A53233" w:rsidRDefault="00A53233" w:rsidP="003B04A1">
            <w:r>
              <w:t>SPED 5</w:t>
            </w:r>
            <w:r w:rsidR="009E5AB8">
              <w:t>24</w:t>
            </w:r>
            <w:r w:rsidR="00FF313D">
              <w:t xml:space="preserve"> is offered 1x/year (Spring only)</w:t>
            </w:r>
            <w:r w:rsidR="003B04A1" w:rsidRPr="00A53233">
              <w:t xml:space="preserve">.  </w:t>
            </w:r>
          </w:p>
        </w:tc>
      </w:tr>
    </w:tbl>
    <w:p w14:paraId="09756257" w14:textId="3874ACB8" w:rsidR="00F64260" w:rsidRPr="00C31E83" w:rsidRDefault="007A5702" w:rsidP="008847FE">
      <w:pPr>
        <w:keepNext/>
      </w:pP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210"/>
        <w:gridCol w:w="6470"/>
      </w:tblGrid>
      <w:tr w:rsidR="00F64260" w:rsidRPr="006E3AF2" w14:paraId="3273EA00" w14:textId="77777777" w:rsidTr="00D233BB">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1210" w:type="dxa"/>
            <w:noWrap/>
          </w:tcPr>
          <w:p w14:paraId="7A26B05C" w14:textId="4335985A" w:rsidR="00F64260" w:rsidRPr="00A83A6C" w:rsidRDefault="00F64260" w:rsidP="00482982">
            <w:pPr>
              <w:pStyle w:val="Heading5"/>
              <w:keepNext/>
              <w:spacing w:before="0" w:after="0" w:line="240" w:lineRule="auto"/>
              <w:jc w:val="center"/>
            </w:pPr>
          </w:p>
        </w:tc>
        <w:tc>
          <w:tcPr>
            <w:tcW w:w="647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D233BB">
        <w:tc>
          <w:tcPr>
            <w:tcW w:w="3100" w:type="dxa"/>
            <w:noWrap/>
            <w:vAlign w:val="center"/>
          </w:tcPr>
          <w:p w14:paraId="23E4C224"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210" w:type="dxa"/>
            <w:noWrap/>
          </w:tcPr>
          <w:p w14:paraId="19F8A524" w14:textId="4F7D95E4" w:rsidR="00F64260" w:rsidRPr="009F029C" w:rsidRDefault="00F64260" w:rsidP="001429AA">
            <w:pPr>
              <w:rPr>
                <w:b/>
              </w:rPr>
            </w:pPr>
            <w:bookmarkStart w:id="16" w:name="cours_title"/>
            <w:bookmarkEnd w:id="16"/>
          </w:p>
        </w:tc>
        <w:tc>
          <w:tcPr>
            <w:tcW w:w="6470" w:type="dxa"/>
            <w:noWrap/>
          </w:tcPr>
          <w:p w14:paraId="72E4032F" w14:textId="2170408E" w:rsidR="00F64260" w:rsidRPr="009F029C" w:rsidRDefault="004B118F" w:rsidP="001429AA">
            <w:pPr>
              <w:rPr>
                <w:b/>
              </w:rPr>
            </w:pPr>
            <w:r>
              <w:rPr>
                <w:b/>
              </w:rPr>
              <w:t>SPED 5</w:t>
            </w:r>
            <w:r w:rsidR="009E5AB8">
              <w:rPr>
                <w:b/>
              </w:rPr>
              <w:t>24</w:t>
            </w:r>
          </w:p>
        </w:tc>
      </w:tr>
      <w:tr w:rsidR="00F64260" w:rsidRPr="006E3AF2" w14:paraId="37592E9F" w14:textId="77777777" w:rsidTr="00D233BB">
        <w:tc>
          <w:tcPr>
            <w:tcW w:w="3100" w:type="dxa"/>
            <w:noWrap/>
            <w:vAlign w:val="center"/>
          </w:tcPr>
          <w:p w14:paraId="2F7EBABC" w14:textId="77777777" w:rsidR="00F64260" w:rsidRPr="006E3AF2" w:rsidRDefault="00F64260" w:rsidP="00013152">
            <w:r>
              <w:t>B.2. C</w:t>
            </w:r>
            <w:r w:rsidRPr="006E3AF2">
              <w:t>ross listing number</w:t>
            </w:r>
            <w:r>
              <w:t xml:space="preserve"> if any</w:t>
            </w:r>
          </w:p>
        </w:tc>
        <w:tc>
          <w:tcPr>
            <w:tcW w:w="1210" w:type="dxa"/>
            <w:noWrap/>
          </w:tcPr>
          <w:p w14:paraId="2BCE9A03" w14:textId="77777777" w:rsidR="00F64260" w:rsidRPr="009F029C" w:rsidRDefault="00F64260" w:rsidP="001429AA">
            <w:pPr>
              <w:rPr>
                <w:b/>
              </w:rPr>
            </w:pPr>
          </w:p>
        </w:tc>
        <w:tc>
          <w:tcPr>
            <w:tcW w:w="6470" w:type="dxa"/>
            <w:noWrap/>
          </w:tcPr>
          <w:p w14:paraId="2FF72528" w14:textId="77777777" w:rsidR="00F64260" w:rsidRPr="009F029C" w:rsidRDefault="00F64260" w:rsidP="001429AA">
            <w:pPr>
              <w:rPr>
                <w:b/>
              </w:rPr>
            </w:pPr>
          </w:p>
        </w:tc>
      </w:tr>
      <w:tr w:rsidR="00F64260" w:rsidRPr="006E3AF2" w14:paraId="41D21786" w14:textId="77777777" w:rsidTr="00D233BB">
        <w:tc>
          <w:tcPr>
            <w:tcW w:w="3100" w:type="dxa"/>
            <w:noWrap/>
            <w:vAlign w:val="center"/>
          </w:tcPr>
          <w:p w14:paraId="735E615A" w14:textId="0A3F5919" w:rsidR="00F64260" w:rsidRPr="006E3AF2" w:rsidRDefault="00F64260" w:rsidP="00013152">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1210" w:type="dxa"/>
            <w:noWrap/>
          </w:tcPr>
          <w:p w14:paraId="06C9A080" w14:textId="1FEC381A" w:rsidR="00F64260" w:rsidRPr="009F029C" w:rsidRDefault="00F64260" w:rsidP="001429AA">
            <w:pPr>
              <w:rPr>
                <w:b/>
              </w:rPr>
            </w:pPr>
            <w:bookmarkStart w:id="17" w:name="title"/>
            <w:bookmarkEnd w:id="17"/>
          </w:p>
        </w:tc>
        <w:tc>
          <w:tcPr>
            <w:tcW w:w="6470" w:type="dxa"/>
            <w:noWrap/>
          </w:tcPr>
          <w:p w14:paraId="001F0A12" w14:textId="5B32344B" w:rsidR="00F64260" w:rsidRPr="009F029C" w:rsidRDefault="003A59B8" w:rsidP="001429AA">
            <w:pPr>
              <w:rPr>
                <w:b/>
              </w:rPr>
            </w:pPr>
            <w:r>
              <w:rPr>
                <w:b/>
              </w:rPr>
              <w:t>Literacy Instruction</w:t>
            </w:r>
            <w:r w:rsidR="009E5AB8">
              <w:rPr>
                <w:b/>
              </w:rPr>
              <w:t>: Adolescents with Mild/Moderate Disabilities</w:t>
            </w:r>
          </w:p>
        </w:tc>
      </w:tr>
      <w:tr w:rsidR="00F64260" w:rsidRPr="006E3AF2" w14:paraId="5164065A" w14:textId="77777777" w:rsidTr="00D233BB">
        <w:tc>
          <w:tcPr>
            <w:tcW w:w="3100" w:type="dxa"/>
            <w:noWrap/>
            <w:vAlign w:val="center"/>
          </w:tcPr>
          <w:p w14:paraId="33DD585B" w14:textId="700A591D" w:rsidR="00F64260" w:rsidRPr="006E3AF2" w:rsidRDefault="00F64260" w:rsidP="00013152">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1210" w:type="dxa"/>
            <w:noWrap/>
          </w:tcPr>
          <w:p w14:paraId="4D9379C4" w14:textId="443102FB" w:rsidR="00F64260" w:rsidRPr="009E5AB8" w:rsidRDefault="00F64260" w:rsidP="009E5AB8">
            <w:bookmarkStart w:id="18" w:name="description"/>
            <w:bookmarkEnd w:id="18"/>
          </w:p>
        </w:tc>
        <w:tc>
          <w:tcPr>
            <w:tcW w:w="6470" w:type="dxa"/>
            <w:noWrap/>
          </w:tcPr>
          <w:p w14:paraId="2DB344D2" w14:textId="4016C2F9" w:rsidR="00F64260" w:rsidRPr="004A015F" w:rsidRDefault="009B73CF" w:rsidP="004A015F">
            <w:pPr>
              <w:pBdr>
                <w:top w:val="nil"/>
                <w:left w:val="nil"/>
                <w:bottom w:val="nil"/>
                <w:right w:val="nil"/>
                <w:between w:val="nil"/>
              </w:pBdr>
              <w:rPr>
                <w:color w:val="000000"/>
              </w:rPr>
            </w:pPr>
            <w:r>
              <w:rPr>
                <w:rFonts w:asciiTheme="minorHAnsi" w:hAnsiTheme="minorHAnsi" w:cstheme="minorHAnsi"/>
                <w:sz w:val="20"/>
                <w:szCs w:val="20"/>
              </w:rPr>
              <w:t xml:space="preserve">Graduate candidates </w:t>
            </w:r>
            <w:r w:rsidRPr="00FF193D">
              <w:rPr>
                <w:rFonts w:asciiTheme="minorHAnsi" w:hAnsiTheme="minorHAnsi" w:cstheme="minorHAnsi"/>
                <w:sz w:val="20"/>
                <w:szCs w:val="20"/>
              </w:rPr>
              <w:t>select, adapt, implement, and assess reading</w:t>
            </w:r>
            <w:r>
              <w:rPr>
                <w:rFonts w:asciiTheme="minorHAnsi" w:hAnsiTheme="minorHAnsi" w:cstheme="minorHAnsi"/>
                <w:sz w:val="20"/>
                <w:szCs w:val="20"/>
              </w:rPr>
              <w:t>/writing</w:t>
            </w:r>
            <w:r w:rsidRPr="00FF193D">
              <w:rPr>
                <w:rFonts w:asciiTheme="minorHAnsi" w:hAnsiTheme="minorHAnsi" w:cstheme="minorHAnsi"/>
                <w:sz w:val="20"/>
                <w:szCs w:val="20"/>
              </w:rPr>
              <w:t xml:space="preserve"> methods</w:t>
            </w:r>
            <w:r>
              <w:rPr>
                <w:rFonts w:asciiTheme="minorHAnsi" w:hAnsiTheme="minorHAnsi" w:cstheme="minorHAnsi"/>
                <w:sz w:val="20"/>
                <w:szCs w:val="20"/>
              </w:rPr>
              <w:t>/</w:t>
            </w:r>
            <w:r w:rsidRPr="00FF193D">
              <w:rPr>
                <w:rFonts w:asciiTheme="minorHAnsi" w:hAnsiTheme="minorHAnsi" w:cstheme="minorHAnsi"/>
                <w:sz w:val="20"/>
                <w:szCs w:val="20"/>
              </w:rPr>
              <w:t xml:space="preserve">materials for </w:t>
            </w:r>
            <w:r w:rsidR="00072213">
              <w:rPr>
                <w:rFonts w:asciiTheme="minorHAnsi" w:hAnsiTheme="minorHAnsi" w:cstheme="minorHAnsi"/>
                <w:sz w:val="20"/>
                <w:szCs w:val="20"/>
              </w:rPr>
              <w:t>second</w:t>
            </w:r>
            <w:r w:rsidRPr="00FF193D">
              <w:rPr>
                <w:rFonts w:asciiTheme="minorHAnsi" w:hAnsiTheme="minorHAnsi" w:cstheme="minorHAnsi"/>
                <w:sz w:val="20"/>
                <w:szCs w:val="20"/>
              </w:rPr>
              <w:t>ary</w:t>
            </w:r>
            <w:r>
              <w:rPr>
                <w:rFonts w:asciiTheme="minorHAnsi" w:hAnsiTheme="minorHAnsi" w:cstheme="minorHAnsi"/>
                <w:sz w:val="20"/>
                <w:szCs w:val="20"/>
              </w:rPr>
              <w:t xml:space="preserve"> </w:t>
            </w:r>
            <w:r w:rsidRPr="00FF193D">
              <w:rPr>
                <w:rFonts w:asciiTheme="minorHAnsi" w:hAnsiTheme="minorHAnsi" w:cstheme="minorHAnsi"/>
                <w:sz w:val="20"/>
                <w:szCs w:val="20"/>
              </w:rPr>
              <w:t>students with mild/moderate disabilities</w:t>
            </w:r>
            <w:r>
              <w:rPr>
                <w:rFonts w:asciiTheme="minorHAnsi" w:hAnsiTheme="minorHAnsi" w:cstheme="minorHAnsi"/>
                <w:sz w:val="20"/>
                <w:szCs w:val="20"/>
              </w:rPr>
              <w:t>. The focus on designing interventions that best support learning/achievement is emphasized.</w:t>
            </w:r>
            <w:r w:rsidR="002D1C64">
              <w:rPr>
                <w:rFonts w:asciiTheme="minorHAnsi" w:hAnsiTheme="minorHAnsi" w:cstheme="minorHAnsi"/>
                <w:sz w:val="20"/>
                <w:szCs w:val="20"/>
              </w:rPr>
              <w:t xml:space="preserve"> </w:t>
            </w:r>
            <w:r w:rsidR="002D1C64">
              <w:rPr>
                <w:rFonts w:ascii="Arial" w:hAnsi="Arial" w:cs="Arial"/>
                <w:color w:val="444444"/>
                <w:sz w:val="20"/>
                <w:szCs w:val="20"/>
                <w:shd w:val="clear" w:color="auto" w:fill="FFFFFF"/>
              </w:rPr>
              <w:t>Thirty-hour practicum required</w:t>
            </w:r>
            <w:r w:rsidR="002D1C64">
              <w:rPr>
                <w:rFonts w:asciiTheme="minorHAnsi" w:hAnsiTheme="minorHAnsi" w:cstheme="minorHAnsi"/>
                <w:sz w:val="20"/>
                <w:szCs w:val="20"/>
              </w:rPr>
              <w:t>.</w:t>
            </w:r>
          </w:p>
        </w:tc>
      </w:tr>
      <w:tr w:rsidR="00F64260" w:rsidRPr="006E3AF2" w14:paraId="51F71CBF" w14:textId="77777777" w:rsidTr="00D233BB">
        <w:tc>
          <w:tcPr>
            <w:tcW w:w="3100" w:type="dxa"/>
            <w:noWrap/>
            <w:vAlign w:val="center"/>
          </w:tcPr>
          <w:p w14:paraId="05549147" w14:textId="77777777" w:rsidR="00F64260" w:rsidRPr="006E3AF2" w:rsidRDefault="003C1A54" w:rsidP="00013152">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1210" w:type="dxa"/>
            <w:noWrap/>
          </w:tcPr>
          <w:p w14:paraId="1855F775" w14:textId="274C203E" w:rsidR="00F64260" w:rsidRPr="00405320" w:rsidRDefault="00F64260" w:rsidP="00405320">
            <w:bookmarkStart w:id="19" w:name="prereqs"/>
            <w:bookmarkEnd w:id="19"/>
          </w:p>
        </w:tc>
        <w:tc>
          <w:tcPr>
            <w:tcW w:w="6470" w:type="dxa"/>
            <w:noWrap/>
          </w:tcPr>
          <w:p w14:paraId="6A4F2B06" w14:textId="198CD719" w:rsidR="009B73CF" w:rsidRDefault="009B73CF" w:rsidP="009B73CF">
            <w:r>
              <w:rPr>
                <w:rFonts w:ascii="Arial" w:hAnsi="Arial" w:cs="Arial"/>
                <w:color w:val="444444"/>
                <w:sz w:val="20"/>
                <w:szCs w:val="20"/>
                <w:shd w:val="clear" w:color="auto" w:fill="FFFFFF"/>
              </w:rPr>
              <w:t>Matriculation in a graduate program </w:t>
            </w:r>
            <w:hyperlink r:id="rId8" w:history="1">
              <w:r>
                <w:rPr>
                  <w:rStyle w:val="Hyperlink"/>
                  <w:rFonts w:ascii="Arial" w:hAnsi="Arial" w:cs="Arial"/>
                  <w:color w:val="786E53"/>
                  <w:sz w:val="20"/>
                  <w:szCs w:val="20"/>
                  <w:shd w:val="clear" w:color="auto" w:fill="FFFFFF"/>
                </w:rPr>
                <w:t>SPED 501</w:t>
              </w:r>
            </w:hyperlink>
            <w:r w:rsidR="00072213">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or equivalents, or consent of department chair.</w:t>
            </w:r>
          </w:p>
          <w:p w14:paraId="350312DB" w14:textId="16A59B9A" w:rsidR="00F64260" w:rsidRPr="009F029C" w:rsidRDefault="00F64260" w:rsidP="00DB0D94">
            <w:pPr>
              <w:rPr>
                <w:b/>
              </w:rPr>
            </w:pPr>
          </w:p>
        </w:tc>
      </w:tr>
      <w:tr w:rsidR="00F64260" w:rsidRPr="006E3AF2" w14:paraId="18ED5FDA" w14:textId="77777777" w:rsidTr="00D233BB">
        <w:tc>
          <w:tcPr>
            <w:tcW w:w="3100" w:type="dxa"/>
            <w:noWrap/>
            <w:vAlign w:val="center"/>
          </w:tcPr>
          <w:p w14:paraId="1016A647" w14:textId="66DC7F44" w:rsidR="00F64260" w:rsidRPr="006E3AF2" w:rsidRDefault="003C1A54" w:rsidP="00013152">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1210" w:type="dxa"/>
            <w:noWrap/>
          </w:tcPr>
          <w:p w14:paraId="6CAE2892" w14:textId="777C6108" w:rsidR="00F64260" w:rsidRPr="009F029C" w:rsidRDefault="00F64260" w:rsidP="00D233BB">
            <w:pPr>
              <w:rPr>
                <w:b/>
                <w:sz w:val="20"/>
              </w:rPr>
            </w:pPr>
          </w:p>
        </w:tc>
        <w:tc>
          <w:tcPr>
            <w:tcW w:w="6470" w:type="dxa"/>
            <w:noWrap/>
          </w:tcPr>
          <w:p w14:paraId="70575036" w14:textId="29C26A64" w:rsidR="00F64260" w:rsidRPr="009F029C" w:rsidRDefault="00F64260" w:rsidP="00C25F9D">
            <w:pPr>
              <w:rPr>
                <w:rFonts w:ascii="MS Mincho" w:eastAsia="MS Mincho" w:hAnsi="MS Mincho" w:cs="MS Mincho"/>
                <w:b/>
                <w:sz w:val="20"/>
              </w:rPr>
            </w:pPr>
            <w:r w:rsidRPr="009F029C">
              <w:rPr>
                <w:b/>
                <w:sz w:val="20"/>
              </w:rPr>
              <w:t xml:space="preserve">Spring  </w:t>
            </w:r>
            <w:r w:rsidRPr="009F029C">
              <w:rPr>
                <w:rFonts w:ascii="MS Mincho" w:eastAsia="MS Mincho" w:hAnsi="MS Mincho" w:cs="MS Mincho"/>
                <w:b/>
                <w:sz w:val="20"/>
              </w:rPr>
              <w:t xml:space="preserve">| </w:t>
            </w:r>
          </w:p>
          <w:p w14:paraId="6E8FAD04" w14:textId="44C5E8AF" w:rsidR="00F64260" w:rsidRPr="009F029C" w:rsidRDefault="00F64260" w:rsidP="00C25F9D">
            <w:pPr>
              <w:rPr>
                <w:b/>
                <w:sz w:val="20"/>
              </w:rPr>
            </w:pPr>
          </w:p>
        </w:tc>
      </w:tr>
      <w:tr w:rsidR="00F64260" w:rsidRPr="006E3AF2" w14:paraId="6C9D583C" w14:textId="77777777" w:rsidTr="00D233BB">
        <w:tc>
          <w:tcPr>
            <w:tcW w:w="3100" w:type="dxa"/>
            <w:noWrap/>
            <w:vAlign w:val="center"/>
          </w:tcPr>
          <w:p w14:paraId="6582E929" w14:textId="77777777"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1210" w:type="dxa"/>
            <w:noWrap/>
          </w:tcPr>
          <w:p w14:paraId="6A37C839" w14:textId="2E7DA1D2" w:rsidR="00F64260" w:rsidRPr="009F029C" w:rsidRDefault="00F64260" w:rsidP="001429AA">
            <w:pPr>
              <w:rPr>
                <w:b/>
              </w:rPr>
            </w:pPr>
            <w:bookmarkStart w:id="20" w:name="contacthours"/>
            <w:bookmarkEnd w:id="20"/>
          </w:p>
        </w:tc>
        <w:tc>
          <w:tcPr>
            <w:tcW w:w="6470" w:type="dxa"/>
            <w:noWrap/>
          </w:tcPr>
          <w:p w14:paraId="790915FC" w14:textId="7D991E44" w:rsidR="00F64260" w:rsidRPr="009F029C" w:rsidRDefault="009B73CF" w:rsidP="001429AA">
            <w:pPr>
              <w:rPr>
                <w:b/>
              </w:rPr>
            </w:pPr>
            <w:r>
              <w:rPr>
                <w:b/>
              </w:rPr>
              <w:t>4</w:t>
            </w:r>
          </w:p>
        </w:tc>
      </w:tr>
      <w:tr w:rsidR="00F64260" w:rsidRPr="006E3AF2" w14:paraId="33B99A97" w14:textId="77777777" w:rsidTr="00D233BB">
        <w:tc>
          <w:tcPr>
            <w:tcW w:w="3100" w:type="dxa"/>
            <w:noWrap/>
            <w:vAlign w:val="center"/>
          </w:tcPr>
          <w:p w14:paraId="6B4EE104" w14:textId="77777777"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1210" w:type="dxa"/>
            <w:noWrap/>
          </w:tcPr>
          <w:p w14:paraId="4C1B53F5" w14:textId="24B5D114" w:rsidR="00F64260" w:rsidRPr="009F029C" w:rsidRDefault="00F64260" w:rsidP="001429AA">
            <w:pPr>
              <w:rPr>
                <w:b/>
              </w:rPr>
            </w:pPr>
            <w:bookmarkStart w:id="21" w:name="credits"/>
            <w:bookmarkEnd w:id="21"/>
          </w:p>
        </w:tc>
        <w:tc>
          <w:tcPr>
            <w:tcW w:w="6470" w:type="dxa"/>
            <w:noWrap/>
          </w:tcPr>
          <w:p w14:paraId="4F70C16F" w14:textId="6AFE57ED" w:rsidR="00F64260" w:rsidRPr="009F029C" w:rsidRDefault="009B73CF" w:rsidP="001429AA">
            <w:pPr>
              <w:rPr>
                <w:b/>
              </w:rPr>
            </w:pPr>
            <w:r>
              <w:rPr>
                <w:b/>
              </w:rPr>
              <w:t>4</w:t>
            </w:r>
          </w:p>
        </w:tc>
      </w:tr>
      <w:tr w:rsidR="00F64260" w:rsidRPr="006E3AF2" w14:paraId="4CBDFD46" w14:textId="77777777" w:rsidTr="004B118F">
        <w:tc>
          <w:tcPr>
            <w:tcW w:w="3100" w:type="dxa"/>
            <w:noWrap/>
            <w:vAlign w:val="center"/>
          </w:tcPr>
          <w:p w14:paraId="726C4F78" w14:textId="75E699EC" w:rsidR="00F64260" w:rsidRPr="006E3AF2" w:rsidRDefault="004313E6" w:rsidP="00013152">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680" w:type="dxa"/>
            <w:gridSpan w:val="2"/>
            <w:noWrap/>
          </w:tcPr>
          <w:p w14:paraId="4031ACC6" w14:textId="6E22B34C" w:rsidR="00F64260" w:rsidRPr="009F029C" w:rsidRDefault="00F64260" w:rsidP="001429AA">
            <w:pPr>
              <w:rPr>
                <w:rStyle w:val="TEXT"/>
              </w:rPr>
            </w:pPr>
            <w:bookmarkStart w:id="22" w:name="differences"/>
            <w:bookmarkEnd w:id="22"/>
          </w:p>
        </w:tc>
      </w:tr>
      <w:tr w:rsidR="00F64260" w:rsidRPr="006E3AF2" w14:paraId="3F978964" w14:textId="77777777" w:rsidTr="00D233BB">
        <w:tc>
          <w:tcPr>
            <w:tcW w:w="3100" w:type="dxa"/>
            <w:noWrap/>
            <w:vAlign w:val="center"/>
          </w:tcPr>
          <w:p w14:paraId="2FAA3C00" w14:textId="77777777" w:rsidR="00F64260" w:rsidRPr="006E3AF2" w:rsidRDefault="004313E6" w:rsidP="00013152">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1210" w:type="dxa"/>
            <w:noWrap/>
          </w:tcPr>
          <w:p w14:paraId="30CC901C" w14:textId="44454BF1" w:rsidR="00F64260" w:rsidRPr="009F029C" w:rsidRDefault="00F64260" w:rsidP="00B2320C">
            <w:pPr>
              <w:rPr>
                <w:b/>
                <w:sz w:val="20"/>
              </w:rPr>
            </w:pPr>
          </w:p>
        </w:tc>
        <w:tc>
          <w:tcPr>
            <w:tcW w:w="6470" w:type="dxa"/>
            <w:noWrap/>
          </w:tcPr>
          <w:p w14:paraId="32C16048" w14:textId="61DB5D88" w:rsidR="00F64260" w:rsidRPr="009F029C" w:rsidRDefault="00482982" w:rsidP="000357A5">
            <w:pPr>
              <w:rPr>
                <w:b/>
                <w:sz w:val="20"/>
              </w:rPr>
            </w:pPr>
            <w:r>
              <w:rPr>
                <w:b/>
                <w:sz w:val="20"/>
              </w:rPr>
              <w:t xml:space="preserve">Letter grade  </w:t>
            </w:r>
            <w:r w:rsidR="00F64260" w:rsidRPr="000357A5">
              <w:rPr>
                <w:b/>
                <w:sz w:val="20"/>
              </w:rPr>
              <w:t xml:space="preserve">  </w:t>
            </w:r>
          </w:p>
        </w:tc>
      </w:tr>
      <w:tr w:rsidR="004B118F" w:rsidRPr="006E3AF2" w14:paraId="45BF3D73" w14:textId="77777777" w:rsidTr="00D233BB">
        <w:tc>
          <w:tcPr>
            <w:tcW w:w="3100" w:type="dxa"/>
            <w:noWrap/>
            <w:vAlign w:val="center"/>
          </w:tcPr>
          <w:p w14:paraId="337E9600" w14:textId="77777777" w:rsidR="004B118F" w:rsidRPr="006E3AF2" w:rsidRDefault="004B118F" w:rsidP="004B118F">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1210" w:type="dxa"/>
            <w:noWrap/>
          </w:tcPr>
          <w:p w14:paraId="1A4D3B38" w14:textId="317F3498" w:rsidR="004B118F" w:rsidRPr="009F029C" w:rsidRDefault="004B118F" w:rsidP="004B118F">
            <w:pPr>
              <w:rPr>
                <w:b/>
                <w:sz w:val="20"/>
              </w:rPr>
            </w:pPr>
            <w:bookmarkStart w:id="23" w:name="instr_methods"/>
            <w:bookmarkEnd w:id="23"/>
          </w:p>
        </w:tc>
        <w:tc>
          <w:tcPr>
            <w:tcW w:w="6470" w:type="dxa"/>
            <w:noWrap/>
          </w:tcPr>
          <w:p w14:paraId="1FE5962F" w14:textId="300D0BA5" w:rsidR="004B118F" w:rsidRPr="009F029C" w:rsidRDefault="004B118F" w:rsidP="004B118F">
            <w:pPr>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 xml:space="preserve">Small group | Individual </w:t>
            </w:r>
          </w:p>
        </w:tc>
      </w:tr>
      <w:tr w:rsidR="004B118F" w:rsidRPr="006E3AF2" w14:paraId="627B913D" w14:textId="77777777" w:rsidTr="00D233BB">
        <w:tc>
          <w:tcPr>
            <w:tcW w:w="3100" w:type="dxa"/>
            <w:noWrap/>
            <w:vAlign w:val="center"/>
          </w:tcPr>
          <w:p w14:paraId="54A53D57" w14:textId="77777777" w:rsidR="004B118F" w:rsidRPr="006E3AF2" w:rsidRDefault="004B118F" w:rsidP="004B118F">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1210" w:type="dxa"/>
            <w:noWrap/>
          </w:tcPr>
          <w:p w14:paraId="622F2744" w14:textId="78116F1A" w:rsidR="004B118F" w:rsidRPr="009F029C" w:rsidRDefault="004B118F" w:rsidP="004B118F">
            <w:pPr>
              <w:rPr>
                <w:b/>
                <w:sz w:val="20"/>
              </w:rPr>
            </w:pPr>
            <w:bookmarkStart w:id="24" w:name="required"/>
            <w:bookmarkEnd w:id="24"/>
          </w:p>
        </w:tc>
        <w:tc>
          <w:tcPr>
            <w:tcW w:w="6470" w:type="dxa"/>
            <w:noWrap/>
          </w:tcPr>
          <w:p w14:paraId="460254CA" w14:textId="66FC3819" w:rsidR="004B118F" w:rsidRPr="009F029C" w:rsidRDefault="004B118F" w:rsidP="004B118F">
            <w:pPr>
              <w:rPr>
                <w:b/>
                <w:sz w:val="20"/>
              </w:rPr>
            </w:pPr>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Required for Certification</w:t>
            </w:r>
          </w:p>
        </w:tc>
      </w:tr>
      <w:tr w:rsidR="004B118F" w:rsidRPr="006E3AF2" w14:paraId="5D768306" w14:textId="77777777" w:rsidTr="00D233BB">
        <w:tc>
          <w:tcPr>
            <w:tcW w:w="3100" w:type="dxa"/>
            <w:noWrap/>
            <w:vAlign w:val="center"/>
          </w:tcPr>
          <w:p w14:paraId="387754FB" w14:textId="7EC1B218" w:rsidR="004B118F" w:rsidRPr="006E3AF2" w:rsidRDefault="004B118F" w:rsidP="004B118F">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1210" w:type="dxa"/>
            <w:noWrap/>
          </w:tcPr>
          <w:p w14:paraId="5128E2F0" w14:textId="4FE02803" w:rsidR="004B118F" w:rsidRPr="009F029C" w:rsidRDefault="004B118F" w:rsidP="004B118F">
            <w:pPr>
              <w:rPr>
                <w:b/>
                <w:sz w:val="20"/>
              </w:rPr>
            </w:pPr>
            <w:bookmarkStart w:id="25" w:name="performance"/>
            <w:bookmarkEnd w:id="25"/>
          </w:p>
        </w:tc>
        <w:tc>
          <w:tcPr>
            <w:tcW w:w="6470" w:type="dxa"/>
            <w:noWrap/>
          </w:tcPr>
          <w:p w14:paraId="54AA07D3" w14:textId="77777777" w:rsidR="004B118F" w:rsidRPr="009F029C" w:rsidRDefault="004B118F" w:rsidP="004B118F">
            <w:pPr>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9FB1793" w14:textId="77777777" w:rsidR="004B118F" w:rsidRPr="009F029C" w:rsidRDefault="004B118F" w:rsidP="004B118F">
            <w:pPr>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BA0A8BE" w14:textId="50C427C9" w:rsidR="004B118F" w:rsidRPr="009F029C" w:rsidRDefault="004B118F" w:rsidP="004B118F">
            <w:pPr>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4B118F" w:rsidRPr="006E3AF2" w14:paraId="72B2A61B" w14:textId="77777777" w:rsidTr="00D233BB">
        <w:tc>
          <w:tcPr>
            <w:tcW w:w="3100" w:type="dxa"/>
            <w:noWrap/>
            <w:vAlign w:val="center"/>
          </w:tcPr>
          <w:p w14:paraId="268D5CB7" w14:textId="73707DDB" w:rsidR="004B118F" w:rsidRPr="006E3AF2" w:rsidRDefault="004B118F" w:rsidP="004B118F">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1210" w:type="dxa"/>
            <w:noWrap/>
          </w:tcPr>
          <w:p w14:paraId="182AA2AA" w14:textId="656BE6C3" w:rsidR="004B118F" w:rsidRPr="009F029C" w:rsidRDefault="004B118F" w:rsidP="004B118F">
            <w:pPr>
              <w:rPr>
                <w:b/>
              </w:rPr>
            </w:pPr>
            <w:bookmarkStart w:id="26" w:name="competing"/>
            <w:bookmarkEnd w:id="26"/>
          </w:p>
        </w:tc>
        <w:tc>
          <w:tcPr>
            <w:tcW w:w="6470" w:type="dxa"/>
            <w:noWrap/>
          </w:tcPr>
          <w:p w14:paraId="36AF007E" w14:textId="77777777" w:rsidR="004B118F" w:rsidRPr="009F029C" w:rsidRDefault="004B118F" w:rsidP="004B118F">
            <w:pPr>
              <w:rPr>
                <w:b/>
              </w:rPr>
            </w:pPr>
          </w:p>
        </w:tc>
      </w:tr>
      <w:tr w:rsidR="004B118F" w:rsidRPr="006E3AF2" w14:paraId="02198359" w14:textId="77777777" w:rsidTr="004B118F">
        <w:tc>
          <w:tcPr>
            <w:tcW w:w="3100" w:type="dxa"/>
            <w:noWrap/>
            <w:vAlign w:val="center"/>
          </w:tcPr>
          <w:p w14:paraId="4A9B4CD3" w14:textId="2956B19A" w:rsidR="004B118F" w:rsidRPr="006E3AF2" w:rsidRDefault="004B118F" w:rsidP="004B118F">
            <w:r>
              <w:t xml:space="preserve">B. 15. </w:t>
            </w:r>
            <w:r w:rsidRPr="00EC63A4">
              <w:t>Other changes, if any</w:t>
            </w:r>
          </w:p>
        </w:tc>
        <w:tc>
          <w:tcPr>
            <w:tcW w:w="7680" w:type="dxa"/>
            <w:gridSpan w:val="2"/>
            <w:noWrap/>
          </w:tcPr>
          <w:p w14:paraId="42DF0D99" w14:textId="77777777" w:rsidR="004B118F" w:rsidRPr="009F029C" w:rsidRDefault="004B118F" w:rsidP="004B118F">
            <w:pPr>
              <w:rPr>
                <w:rStyle w:val="TEXT"/>
              </w:rPr>
            </w:pPr>
          </w:p>
        </w:tc>
      </w:tr>
    </w:tbl>
    <w:p w14:paraId="27D09BDD" w14:textId="77777777" w:rsidR="00F64260" w:rsidRDefault="00F64260"/>
    <w:p w14:paraId="17C69138" w14:textId="3BBA0B72" w:rsidR="00A90A26" w:rsidRDefault="00A90A26"/>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5B17CE">
        <w:trPr>
          <w:cantSplit/>
          <w:tblHeader/>
        </w:trPr>
        <w:tc>
          <w:tcPr>
            <w:tcW w:w="4407" w:type="dxa"/>
          </w:tcPr>
          <w:p w14:paraId="08F83F6A" w14:textId="4BBDA84C" w:rsidR="00F64260" w:rsidRPr="00402602" w:rsidRDefault="00896897" w:rsidP="00BC42EB">
            <w:pPr>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442264" w:rsidP="00BC42EB">
            <w:pPr>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442264" w:rsidP="00BC42EB">
            <w:pPr>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5B17CE" w14:paraId="7B7D4A96" w14:textId="77777777" w:rsidTr="005B17CE">
        <w:trPr>
          <w:cantSplit/>
        </w:trPr>
        <w:tc>
          <w:tcPr>
            <w:tcW w:w="4407" w:type="dxa"/>
          </w:tcPr>
          <w:p w14:paraId="4CD69CCC" w14:textId="0321AA0A" w:rsidR="009B73CF" w:rsidRPr="00FF193D" w:rsidRDefault="009B73CF" w:rsidP="009B73CF">
            <w:pPr>
              <w:textAlignment w:val="baseline"/>
              <w:rPr>
                <w:rFonts w:asciiTheme="minorHAnsi" w:hAnsiTheme="minorHAnsi" w:cstheme="minorHAnsi"/>
                <w:color w:val="000000"/>
                <w:sz w:val="20"/>
                <w:szCs w:val="20"/>
              </w:rPr>
            </w:pPr>
            <w:bookmarkStart w:id="27" w:name="outcomes"/>
            <w:bookmarkEnd w:id="27"/>
            <w:r w:rsidRPr="00FF193D">
              <w:rPr>
                <w:rFonts w:asciiTheme="minorHAnsi" w:hAnsiTheme="minorHAnsi" w:cstheme="minorHAnsi"/>
                <w:w w:val="105"/>
                <w:sz w:val="20"/>
                <w:szCs w:val="20"/>
              </w:rPr>
              <w:t>1. Describe and critique the national</w:t>
            </w:r>
            <w:r w:rsidR="009877FC">
              <w:rPr>
                <w:rFonts w:asciiTheme="minorHAnsi" w:hAnsiTheme="minorHAnsi" w:cstheme="minorHAnsi"/>
                <w:w w:val="105"/>
                <w:sz w:val="20"/>
                <w:szCs w:val="20"/>
              </w:rPr>
              <w:t>/state</w:t>
            </w:r>
            <w:r w:rsidRPr="00FF193D">
              <w:rPr>
                <w:rFonts w:asciiTheme="minorHAnsi" w:hAnsiTheme="minorHAnsi" w:cstheme="minorHAnsi"/>
                <w:w w:val="105"/>
                <w:sz w:val="20"/>
                <w:szCs w:val="20"/>
              </w:rPr>
              <w:t xml:space="preserve"> trends, commissions, and reports, to identify and develop best practices in literacy instruction for </w:t>
            </w:r>
            <w:r w:rsidR="00060783" w:rsidRPr="00060783">
              <w:rPr>
                <w:rFonts w:asciiTheme="minorHAnsi" w:hAnsiTheme="minorHAnsi" w:cstheme="minorHAnsi"/>
                <w:w w:val="105"/>
                <w:sz w:val="20"/>
                <w:szCs w:val="20"/>
                <w:u w:val="single"/>
              </w:rPr>
              <w:t>secondary</w:t>
            </w:r>
            <w:r w:rsidR="00060783">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 disabilities.</w:t>
            </w:r>
          </w:p>
          <w:p w14:paraId="1571C712" w14:textId="61C7E630" w:rsidR="005B17CE" w:rsidRDefault="005B17CE" w:rsidP="005B17CE"/>
        </w:tc>
        <w:tc>
          <w:tcPr>
            <w:tcW w:w="1703" w:type="dxa"/>
          </w:tcPr>
          <w:p w14:paraId="1780D737" w14:textId="77777777" w:rsidR="005B17CE" w:rsidRPr="002051B4" w:rsidRDefault="005B17CE" w:rsidP="005B17CE">
            <w:pPr>
              <w:pStyle w:val="Heading3"/>
              <w:spacing w:before="0" w:line="240" w:lineRule="auto"/>
              <w:jc w:val="left"/>
              <w:rPr>
                <w:rFonts w:ascii="Calibri" w:eastAsia="Calibri" w:hAnsi="Calibri" w:cs="Calibri"/>
                <w:color w:val="000000"/>
                <w:sz w:val="20"/>
                <w:szCs w:val="20"/>
              </w:rPr>
            </w:pPr>
            <w:bookmarkStart w:id="28" w:name="standards"/>
            <w:bookmarkEnd w:id="28"/>
            <w:r w:rsidRPr="002051B4">
              <w:rPr>
                <w:rFonts w:ascii="Calibri" w:eastAsia="Calibri" w:hAnsi="Calibri" w:cs="Calibri"/>
                <w:color w:val="000000"/>
                <w:sz w:val="20"/>
                <w:szCs w:val="20"/>
              </w:rPr>
              <w:t>CEC3 Curricular</w:t>
            </w:r>
          </w:p>
          <w:p w14:paraId="48EEBF8B" w14:textId="44CD1B84" w:rsidR="005B17CE" w:rsidRDefault="005B17CE" w:rsidP="005B17CE">
            <w:r w:rsidRPr="002051B4">
              <w:rPr>
                <w:rFonts w:ascii="Calibri" w:eastAsia="Calibri" w:hAnsi="Calibri" w:cs="Calibri"/>
                <w:color w:val="000000"/>
                <w:sz w:val="20"/>
                <w:szCs w:val="20"/>
              </w:rPr>
              <w:t>Content Knowledge</w:t>
            </w:r>
            <w:r>
              <w:rPr>
                <w:rFonts w:ascii="Calibri" w:eastAsia="Calibri" w:hAnsi="Calibri" w:cs="Calibri"/>
                <w:color w:val="000000"/>
                <w:sz w:val="20"/>
                <w:szCs w:val="20"/>
              </w:rPr>
              <w:t>; RIPTS 2</w:t>
            </w:r>
          </w:p>
        </w:tc>
        <w:tc>
          <w:tcPr>
            <w:tcW w:w="4670" w:type="dxa"/>
          </w:tcPr>
          <w:p w14:paraId="0A370311" w14:textId="0BA57C2F" w:rsidR="005B17CE" w:rsidRDefault="005B17CE" w:rsidP="005B17CE">
            <w:bookmarkStart w:id="29" w:name="measured"/>
            <w:bookmarkEnd w:id="29"/>
            <w:r>
              <w:rPr>
                <w:i/>
                <w:sz w:val="20"/>
                <w:szCs w:val="20"/>
              </w:rPr>
              <w:t>In class/online activities; quizzes/exams</w:t>
            </w:r>
          </w:p>
        </w:tc>
      </w:tr>
      <w:tr w:rsidR="005B17CE" w14:paraId="73043584" w14:textId="77777777" w:rsidTr="005B17CE">
        <w:trPr>
          <w:cantSplit/>
        </w:trPr>
        <w:tc>
          <w:tcPr>
            <w:tcW w:w="4407" w:type="dxa"/>
          </w:tcPr>
          <w:p w14:paraId="7EC6716D" w14:textId="1E5B8C8D" w:rsidR="009877FC" w:rsidRPr="00FF193D" w:rsidRDefault="009877FC" w:rsidP="009877FC">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2. Describe instructional methods and learning techniques which enhance learning </w:t>
            </w:r>
            <w:r>
              <w:rPr>
                <w:rFonts w:asciiTheme="minorHAnsi" w:hAnsiTheme="minorHAnsi" w:cstheme="minorHAnsi"/>
                <w:w w:val="105"/>
                <w:sz w:val="20"/>
                <w:szCs w:val="20"/>
              </w:rPr>
              <w:t xml:space="preserve">to read/write </w:t>
            </w:r>
            <w:r w:rsidRPr="00FF193D">
              <w:rPr>
                <w:rFonts w:asciiTheme="minorHAnsi" w:hAnsiTheme="minorHAnsi" w:cstheme="minorHAnsi"/>
                <w:w w:val="105"/>
                <w:sz w:val="20"/>
                <w:szCs w:val="20"/>
              </w:rPr>
              <w:t xml:space="preserve">for </w:t>
            </w:r>
            <w:r w:rsidR="00060783" w:rsidRPr="00060783">
              <w:rPr>
                <w:rFonts w:asciiTheme="minorHAnsi" w:hAnsiTheme="minorHAnsi" w:cstheme="minorHAnsi"/>
                <w:w w:val="105"/>
                <w:sz w:val="20"/>
                <w:szCs w:val="20"/>
                <w:u w:val="single"/>
              </w:rPr>
              <w:t>secondary</w:t>
            </w:r>
            <w:r w:rsidR="00060783">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 disabilities.</w:t>
            </w:r>
          </w:p>
          <w:p w14:paraId="10A34B2A" w14:textId="603F7DB5" w:rsidR="005B17CE" w:rsidRDefault="005B17CE" w:rsidP="005B17CE"/>
        </w:tc>
        <w:tc>
          <w:tcPr>
            <w:tcW w:w="1703" w:type="dxa"/>
          </w:tcPr>
          <w:p w14:paraId="3743DAA4"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638748AC" w14:textId="4127A663" w:rsidR="005B17CE" w:rsidRDefault="005B17CE" w:rsidP="005B17CE">
            <w:r w:rsidRPr="002051B4">
              <w:rPr>
                <w:rFonts w:ascii="Calibri" w:eastAsia="Calibri" w:hAnsi="Calibri" w:cs="Calibri"/>
                <w:sz w:val="20"/>
                <w:szCs w:val="20"/>
              </w:rPr>
              <w:t>CEC6: Professional Learning &amp; Practice</w:t>
            </w:r>
            <w:r>
              <w:rPr>
                <w:rFonts w:ascii="Calibri" w:eastAsia="Calibri" w:hAnsi="Calibri" w:cs="Calibri"/>
                <w:sz w:val="20"/>
                <w:szCs w:val="20"/>
              </w:rPr>
              <w:t>; RIPTS 2</w:t>
            </w:r>
          </w:p>
        </w:tc>
        <w:tc>
          <w:tcPr>
            <w:tcW w:w="4670" w:type="dxa"/>
          </w:tcPr>
          <w:p w14:paraId="57FBD416" w14:textId="2926F184" w:rsidR="005B17CE" w:rsidRDefault="005B17CE" w:rsidP="005B17CE">
            <w:r>
              <w:rPr>
                <w:i/>
                <w:sz w:val="20"/>
                <w:szCs w:val="20"/>
              </w:rPr>
              <w:t>In class/online activities; quizzes/exams</w:t>
            </w:r>
          </w:p>
        </w:tc>
      </w:tr>
      <w:tr w:rsidR="005B17CE" w14:paraId="373F39F0" w14:textId="77777777" w:rsidTr="005B17CE">
        <w:trPr>
          <w:cantSplit/>
        </w:trPr>
        <w:tc>
          <w:tcPr>
            <w:tcW w:w="4407" w:type="dxa"/>
          </w:tcPr>
          <w:p w14:paraId="4852C7AC" w14:textId="4C019AA3" w:rsidR="009877FC" w:rsidRPr="00FF193D" w:rsidRDefault="009877FC" w:rsidP="009877FC">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lastRenderedPageBreak/>
              <w:t xml:space="preserve">3. Develop strategies to enhance the literacy instruction of a </w:t>
            </w:r>
            <w:r w:rsidRPr="00060783">
              <w:rPr>
                <w:rFonts w:asciiTheme="minorHAnsi" w:hAnsiTheme="minorHAnsi" w:cstheme="minorHAnsi"/>
                <w:w w:val="105"/>
                <w:sz w:val="20"/>
                <w:szCs w:val="20"/>
                <w:u w:val="single"/>
              </w:rPr>
              <w:t>s</w:t>
            </w:r>
            <w:r w:rsidR="00060783" w:rsidRPr="00060783">
              <w:rPr>
                <w:rFonts w:asciiTheme="minorHAnsi" w:hAnsiTheme="minorHAnsi" w:cstheme="minorHAnsi"/>
                <w:w w:val="105"/>
                <w:sz w:val="20"/>
                <w:szCs w:val="20"/>
                <w:u w:val="single"/>
              </w:rPr>
              <w:t>econdary</w:t>
            </w:r>
            <w:r w:rsidR="00060783">
              <w:rPr>
                <w:rFonts w:asciiTheme="minorHAnsi" w:hAnsiTheme="minorHAnsi" w:cstheme="minorHAnsi"/>
                <w:w w:val="105"/>
                <w:sz w:val="20"/>
                <w:szCs w:val="20"/>
              </w:rPr>
              <w:t xml:space="preserve"> s</w:t>
            </w:r>
            <w:r w:rsidRPr="00FF193D">
              <w:rPr>
                <w:rFonts w:asciiTheme="minorHAnsi" w:hAnsiTheme="minorHAnsi" w:cstheme="minorHAnsi"/>
                <w:w w:val="105"/>
                <w:sz w:val="20"/>
                <w:szCs w:val="20"/>
              </w:rPr>
              <w:t>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 disabilities, using critical features of a balanced literacy program and research</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based strategies and</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consideration</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of</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the</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student’s</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specific</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learning</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needs</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and</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strengths.</w:t>
            </w:r>
          </w:p>
          <w:p w14:paraId="03860DE1" w14:textId="05D49B34" w:rsidR="005B17CE" w:rsidRDefault="005B17CE" w:rsidP="005B17CE"/>
        </w:tc>
        <w:tc>
          <w:tcPr>
            <w:tcW w:w="1703" w:type="dxa"/>
          </w:tcPr>
          <w:p w14:paraId="2C69138C"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48CF2D35" w14:textId="561FBF5E" w:rsidR="005B17CE" w:rsidRDefault="005B17CE" w:rsidP="005B17CE">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tc>
        <w:tc>
          <w:tcPr>
            <w:tcW w:w="4670" w:type="dxa"/>
          </w:tcPr>
          <w:p w14:paraId="4F061422" w14:textId="1AFD6D5D" w:rsidR="005B17CE" w:rsidRDefault="005B17CE" w:rsidP="005B17CE">
            <w:r>
              <w:rPr>
                <w:i/>
                <w:sz w:val="20"/>
                <w:szCs w:val="20"/>
              </w:rPr>
              <w:t>In class/online activities; quizzes/exams</w:t>
            </w:r>
          </w:p>
        </w:tc>
      </w:tr>
      <w:tr w:rsidR="005B17CE" w14:paraId="402DE00D" w14:textId="77777777" w:rsidTr="005B17CE">
        <w:trPr>
          <w:cantSplit/>
        </w:trPr>
        <w:tc>
          <w:tcPr>
            <w:tcW w:w="4407" w:type="dxa"/>
          </w:tcPr>
          <w:p w14:paraId="12726AB1" w14:textId="25CEE02A" w:rsidR="009877FC" w:rsidRPr="00FF193D" w:rsidRDefault="009877FC" w:rsidP="009877FC">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4. </w:t>
            </w:r>
            <w:r w:rsidR="002A6233">
              <w:rPr>
                <w:rFonts w:asciiTheme="minorHAnsi" w:hAnsiTheme="minorHAnsi" w:cstheme="minorHAnsi"/>
                <w:w w:val="105"/>
                <w:sz w:val="20"/>
                <w:szCs w:val="20"/>
              </w:rPr>
              <w:t>Analyze</w:t>
            </w:r>
            <w:r w:rsidRPr="00FF193D">
              <w:rPr>
                <w:rFonts w:asciiTheme="minorHAnsi" w:hAnsiTheme="minorHAnsi" w:cstheme="minorHAnsi"/>
                <w:w w:val="105"/>
                <w:sz w:val="20"/>
                <w:szCs w:val="20"/>
              </w:rPr>
              <w:t xml:space="preserve"> the effect of cultural</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linguistic differences on a </w:t>
            </w:r>
            <w:r w:rsidR="005A171C" w:rsidRPr="005A171C">
              <w:rPr>
                <w:rFonts w:asciiTheme="minorHAnsi" w:hAnsiTheme="minorHAnsi" w:cstheme="minorHAnsi"/>
                <w:w w:val="105"/>
                <w:sz w:val="20"/>
                <w:szCs w:val="20"/>
                <w:u w:val="single"/>
              </w:rPr>
              <w:t>secondary</w:t>
            </w:r>
            <w:r w:rsidR="005A171C">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interaction with reading</w:t>
            </w:r>
            <w:r w:rsidR="002A6233">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and the instructional environment.</w:t>
            </w:r>
          </w:p>
          <w:p w14:paraId="06475D1F" w14:textId="028E3D36" w:rsidR="005B17CE" w:rsidRDefault="005A171C" w:rsidP="005B17CE">
            <w:r>
              <w:t xml:space="preserve"> </w:t>
            </w:r>
          </w:p>
        </w:tc>
        <w:tc>
          <w:tcPr>
            <w:tcW w:w="1703" w:type="dxa"/>
          </w:tcPr>
          <w:p w14:paraId="09941809"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ACC26AE" w14:textId="116AC9EB" w:rsidR="005B17CE" w:rsidRDefault="005B17CE" w:rsidP="005B17CE">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3</w:t>
            </w:r>
          </w:p>
        </w:tc>
        <w:tc>
          <w:tcPr>
            <w:tcW w:w="4670" w:type="dxa"/>
          </w:tcPr>
          <w:p w14:paraId="04F4D8CD" w14:textId="2C10DCAF" w:rsidR="005B17CE" w:rsidRDefault="002A6233" w:rsidP="005B17CE">
            <w:r>
              <w:rPr>
                <w:i/>
                <w:sz w:val="20"/>
                <w:szCs w:val="20"/>
              </w:rPr>
              <w:t>Family Interview</w:t>
            </w:r>
          </w:p>
        </w:tc>
      </w:tr>
      <w:tr w:rsidR="005B17CE" w14:paraId="6C5CBD56" w14:textId="77777777" w:rsidTr="005B17CE">
        <w:trPr>
          <w:cantSplit/>
        </w:trPr>
        <w:tc>
          <w:tcPr>
            <w:tcW w:w="4407" w:type="dxa"/>
          </w:tcPr>
          <w:p w14:paraId="6454B37D" w14:textId="71915BFB" w:rsidR="009877FC" w:rsidRPr="00FF193D" w:rsidRDefault="009877FC" w:rsidP="009877FC">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5. Identify specific characteristics and needs of a </w:t>
            </w:r>
            <w:r w:rsidR="005A171C" w:rsidRPr="005A171C">
              <w:rPr>
                <w:rFonts w:asciiTheme="minorHAnsi" w:hAnsiTheme="minorHAnsi" w:cstheme="minorHAnsi"/>
                <w:w w:val="105"/>
                <w:sz w:val="20"/>
                <w:szCs w:val="20"/>
                <w:u w:val="single"/>
              </w:rPr>
              <w:t>secondary</w:t>
            </w:r>
            <w:r w:rsidR="005A171C">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moderate disabilities, and select, implement, and critique appropriate </w:t>
            </w:r>
            <w:r>
              <w:rPr>
                <w:rFonts w:asciiTheme="minorHAnsi" w:hAnsiTheme="minorHAnsi" w:cstheme="minorHAnsi"/>
                <w:w w:val="105"/>
                <w:sz w:val="20"/>
                <w:szCs w:val="20"/>
              </w:rPr>
              <w:t>reading interventions</w:t>
            </w:r>
            <w:r w:rsidRPr="00FF193D">
              <w:rPr>
                <w:rFonts w:asciiTheme="minorHAnsi" w:hAnsiTheme="minorHAnsi" w:cstheme="minorHAnsi"/>
                <w:w w:val="105"/>
                <w:sz w:val="20"/>
                <w:szCs w:val="20"/>
              </w:rPr>
              <w:t xml:space="preserve"> to respond to a student’s unique strength and needs and strengths.</w:t>
            </w:r>
          </w:p>
          <w:p w14:paraId="63B66DE5" w14:textId="196F77D4" w:rsidR="005B17CE" w:rsidRDefault="005B17CE" w:rsidP="005B17CE"/>
        </w:tc>
        <w:tc>
          <w:tcPr>
            <w:tcW w:w="1703" w:type="dxa"/>
          </w:tcPr>
          <w:p w14:paraId="17F6E953"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68A2D9D5" w14:textId="7661D417" w:rsidR="005B17CE" w:rsidRDefault="005B17CE" w:rsidP="005B17CE">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4</w:t>
            </w:r>
          </w:p>
        </w:tc>
        <w:tc>
          <w:tcPr>
            <w:tcW w:w="4670" w:type="dxa"/>
          </w:tcPr>
          <w:p w14:paraId="4A8BB2F2" w14:textId="3BC3F637" w:rsidR="005B17CE" w:rsidRDefault="002A6233" w:rsidP="005B17CE">
            <w:r>
              <w:rPr>
                <w:i/>
                <w:sz w:val="20"/>
                <w:szCs w:val="20"/>
              </w:rPr>
              <w:t>Reading Assessments</w:t>
            </w:r>
            <w:r w:rsidR="005B17CE">
              <w:rPr>
                <w:i/>
                <w:sz w:val="20"/>
                <w:szCs w:val="20"/>
              </w:rPr>
              <w:t>; In class/online activities; quizzes/exams</w:t>
            </w:r>
          </w:p>
        </w:tc>
      </w:tr>
      <w:tr w:rsidR="005B17CE" w14:paraId="2F947DD6" w14:textId="77777777" w:rsidTr="005B17CE">
        <w:trPr>
          <w:cantSplit/>
        </w:trPr>
        <w:tc>
          <w:tcPr>
            <w:tcW w:w="4407" w:type="dxa"/>
          </w:tcPr>
          <w:p w14:paraId="320383DE" w14:textId="12ABA3DC" w:rsidR="005B17CE" w:rsidRDefault="009877FC" w:rsidP="005B17CE">
            <w:r w:rsidRPr="00FF193D">
              <w:rPr>
                <w:rFonts w:asciiTheme="minorHAnsi" w:hAnsiTheme="minorHAnsi" w:cstheme="minorHAnsi"/>
                <w:w w:val="105"/>
                <w:sz w:val="20"/>
                <w:szCs w:val="20"/>
              </w:rPr>
              <w:lastRenderedPageBreak/>
              <w:t xml:space="preserve">6. Identify specific characteristics and needs of a </w:t>
            </w:r>
            <w:r w:rsidR="005A171C" w:rsidRPr="005A171C">
              <w:rPr>
                <w:rFonts w:asciiTheme="minorHAnsi" w:hAnsiTheme="minorHAnsi" w:cstheme="minorHAnsi"/>
                <w:w w:val="105"/>
                <w:sz w:val="20"/>
                <w:szCs w:val="20"/>
                <w:u w:val="single"/>
              </w:rPr>
              <w:t>secondary</w:t>
            </w:r>
            <w:r w:rsidR="005A171C">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moderate disabilities, and select, implement, and critique appropriate </w:t>
            </w:r>
            <w:r>
              <w:rPr>
                <w:rFonts w:asciiTheme="minorHAnsi" w:hAnsiTheme="minorHAnsi" w:cstheme="minorHAnsi"/>
                <w:w w:val="105"/>
                <w:sz w:val="20"/>
                <w:szCs w:val="20"/>
              </w:rPr>
              <w:t>writing interventions</w:t>
            </w:r>
            <w:r w:rsidRPr="00FF193D">
              <w:rPr>
                <w:rFonts w:asciiTheme="minorHAnsi" w:hAnsiTheme="minorHAnsi" w:cstheme="minorHAnsi"/>
                <w:w w:val="105"/>
                <w:sz w:val="20"/>
                <w:szCs w:val="20"/>
              </w:rPr>
              <w:t xml:space="preserve"> to meet the students’ needs and strengths.</w:t>
            </w:r>
          </w:p>
        </w:tc>
        <w:tc>
          <w:tcPr>
            <w:tcW w:w="1703" w:type="dxa"/>
          </w:tcPr>
          <w:p w14:paraId="6C25BDA3"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EE9027C" w14:textId="77777777" w:rsidR="005B17CE" w:rsidRPr="002051B4" w:rsidRDefault="005B17CE" w:rsidP="005B17CE">
            <w:pPr>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p w14:paraId="4C113B05" w14:textId="77777777" w:rsidR="005B17CE" w:rsidRPr="002051B4" w:rsidRDefault="005B17CE" w:rsidP="005B17CE">
            <w:pPr>
              <w:rPr>
                <w:rFonts w:ascii="Calibri" w:eastAsia="Calibri" w:hAnsi="Calibri" w:cs="Calibri"/>
                <w:sz w:val="20"/>
                <w:szCs w:val="20"/>
              </w:rPr>
            </w:pPr>
          </w:p>
          <w:p w14:paraId="4BE69AE3" w14:textId="77777777" w:rsidR="005B17CE" w:rsidRDefault="005B17CE" w:rsidP="005B17CE"/>
        </w:tc>
        <w:tc>
          <w:tcPr>
            <w:tcW w:w="4670" w:type="dxa"/>
          </w:tcPr>
          <w:p w14:paraId="68D0DBFE" w14:textId="406D8FC7" w:rsidR="005B17CE" w:rsidRDefault="002A6233" w:rsidP="005B17CE">
            <w:r>
              <w:rPr>
                <w:i/>
                <w:sz w:val="20"/>
                <w:szCs w:val="20"/>
              </w:rPr>
              <w:t xml:space="preserve">Writing Assessments, </w:t>
            </w:r>
            <w:r w:rsidR="005B17CE">
              <w:rPr>
                <w:i/>
                <w:sz w:val="20"/>
                <w:szCs w:val="20"/>
              </w:rPr>
              <w:t>In class/online activities; quizzes/exams</w:t>
            </w:r>
          </w:p>
        </w:tc>
      </w:tr>
      <w:tr w:rsidR="005B17CE" w14:paraId="667D455B" w14:textId="77777777" w:rsidTr="005B17CE">
        <w:trPr>
          <w:cantSplit/>
        </w:trPr>
        <w:tc>
          <w:tcPr>
            <w:tcW w:w="4407" w:type="dxa"/>
          </w:tcPr>
          <w:p w14:paraId="4633EE48" w14:textId="056898B8" w:rsidR="009877FC" w:rsidRPr="00FF193D" w:rsidRDefault="009877FC" w:rsidP="009877FC">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7. </w:t>
            </w:r>
            <w:r w:rsidR="002A6233">
              <w:rPr>
                <w:rFonts w:asciiTheme="minorHAnsi" w:hAnsiTheme="minorHAnsi" w:cstheme="minorHAnsi"/>
                <w:w w:val="105"/>
                <w:sz w:val="20"/>
                <w:szCs w:val="20"/>
              </w:rPr>
              <w:t>Create</w:t>
            </w:r>
            <w:r w:rsidRPr="00FF193D">
              <w:rPr>
                <w:rFonts w:asciiTheme="minorHAnsi" w:hAnsiTheme="minorHAnsi" w:cstheme="minorHAnsi"/>
                <w:w w:val="105"/>
                <w:sz w:val="20"/>
                <w:szCs w:val="20"/>
              </w:rPr>
              <w:t xml:space="preserve"> essential </w:t>
            </w:r>
            <w:r w:rsidR="002A6233">
              <w:rPr>
                <w:rFonts w:asciiTheme="minorHAnsi" w:hAnsiTheme="minorHAnsi" w:cstheme="minorHAnsi"/>
                <w:w w:val="105"/>
                <w:sz w:val="20"/>
                <w:szCs w:val="20"/>
              </w:rPr>
              <w:t>reading/writing IEP goals/</w:t>
            </w:r>
            <w:r w:rsidRPr="00FF193D">
              <w:rPr>
                <w:rFonts w:asciiTheme="minorHAnsi" w:hAnsiTheme="minorHAnsi" w:cstheme="minorHAnsi"/>
                <w:w w:val="105"/>
                <w:sz w:val="20"/>
                <w:szCs w:val="20"/>
              </w:rPr>
              <w:t>short</w:t>
            </w:r>
            <w:r>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term objectives </w:t>
            </w:r>
            <w:r w:rsidR="002A6233">
              <w:rPr>
                <w:rFonts w:asciiTheme="minorHAnsi" w:hAnsiTheme="minorHAnsi" w:cstheme="minorHAnsi"/>
                <w:w w:val="105"/>
                <w:sz w:val="20"/>
                <w:szCs w:val="20"/>
              </w:rPr>
              <w:t>using formal/informal data sources</w:t>
            </w:r>
            <w:r w:rsidRPr="00FF193D">
              <w:rPr>
                <w:rFonts w:asciiTheme="minorHAnsi" w:hAnsiTheme="minorHAnsi" w:cstheme="minorHAnsi"/>
                <w:w w:val="105"/>
                <w:sz w:val="20"/>
                <w:szCs w:val="20"/>
              </w:rPr>
              <w:t xml:space="preserve"> </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pre and post intervention</w:t>
            </w:r>
            <w:r w:rsidR="002A6233">
              <w:rPr>
                <w:rFonts w:asciiTheme="minorHAnsi" w:hAnsiTheme="minorHAnsi" w:cstheme="minorHAnsi"/>
                <w:w w:val="105"/>
                <w:sz w:val="20"/>
                <w:szCs w:val="20"/>
              </w:rPr>
              <w:t>s, formal measures)</w:t>
            </w:r>
            <w:r w:rsidRPr="00FF193D">
              <w:rPr>
                <w:rFonts w:asciiTheme="minorHAnsi" w:hAnsiTheme="minorHAnsi" w:cstheme="minorHAnsi"/>
                <w:w w:val="105"/>
                <w:sz w:val="20"/>
                <w:szCs w:val="20"/>
              </w:rPr>
              <w:t>.</w:t>
            </w:r>
            <w:r w:rsidR="005A171C">
              <w:rPr>
                <w:rFonts w:asciiTheme="minorHAnsi" w:hAnsiTheme="minorHAnsi" w:cstheme="minorHAnsi"/>
                <w:w w:val="105"/>
                <w:sz w:val="20"/>
                <w:szCs w:val="20"/>
              </w:rPr>
              <w:t xml:space="preserve"> Attention to transition planning is necessary.</w:t>
            </w:r>
          </w:p>
          <w:p w14:paraId="1FEEDC4A" w14:textId="38C705BD" w:rsidR="005B17CE" w:rsidRDefault="005B17CE" w:rsidP="005B17CE"/>
        </w:tc>
        <w:tc>
          <w:tcPr>
            <w:tcW w:w="1703" w:type="dxa"/>
          </w:tcPr>
          <w:p w14:paraId="2985B78F" w14:textId="1DF79AFF" w:rsidR="005B17CE" w:rsidRDefault="005B17CE" w:rsidP="005B17CE">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09DFB707" w14:textId="74D20990" w:rsidR="005B17CE" w:rsidRDefault="002A6233" w:rsidP="005B17CE">
            <w:r>
              <w:rPr>
                <w:i/>
                <w:sz w:val="20"/>
                <w:szCs w:val="20"/>
              </w:rPr>
              <w:t>IEP</w:t>
            </w:r>
            <w:r w:rsidR="005B17CE">
              <w:rPr>
                <w:i/>
                <w:sz w:val="20"/>
                <w:szCs w:val="20"/>
              </w:rPr>
              <w:t>; In class/online activities</w:t>
            </w:r>
          </w:p>
        </w:tc>
      </w:tr>
      <w:tr w:rsidR="005B17CE" w14:paraId="34009E93" w14:textId="77777777" w:rsidTr="005B17CE">
        <w:trPr>
          <w:cantSplit/>
        </w:trPr>
        <w:tc>
          <w:tcPr>
            <w:tcW w:w="4407" w:type="dxa"/>
          </w:tcPr>
          <w:p w14:paraId="7693E79E" w14:textId="01514257" w:rsidR="002A6233" w:rsidRPr="00FF193D" w:rsidRDefault="002A6233" w:rsidP="002A6233">
            <w:pPr>
              <w:numPr>
                <w:ilvl w:val="0"/>
                <w:numId w:val="12"/>
              </w:numPr>
              <w:ind w:left="0"/>
              <w:textAlignment w:val="baseline"/>
              <w:rPr>
                <w:rFonts w:asciiTheme="minorHAnsi" w:hAnsiTheme="minorHAnsi" w:cstheme="minorHAnsi"/>
                <w:color w:val="000000"/>
                <w:sz w:val="20"/>
                <w:szCs w:val="20"/>
              </w:rPr>
            </w:pPr>
            <w:r>
              <w:rPr>
                <w:rFonts w:asciiTheme="minorHAnsi" w:hAnsiTheme="minorHAnsi" w:cstheme="minorHAnsi"/>
                <w:w w:val="105"/>
                <w:sz w:val="20"/>
                <w:szCs w:val="20"/>
              </w:rPr>
              <w:t>8</w:t>
            </w:r>
            <w:r w:rsidRPr="00FF193D">
              <w:rPr>
                <w:rFonts w:asciiTheme="minorHAnsi" w:hAnsiTheme="minorHAnsi" w:cstheme="minorHAnsi"/>
                <w:w w:val="105"/>
                <w:sz w:val="20"/>
                <w:szCs w:val="20"/>
              </w:rPr>
              <w:t xml:space="preserve">. </w:t>
            </w:r>
            <w:r>
              <w:rPr>
                <w:rFonts w:asciiTheme="minorHAnsi" w:hAnsiTheme="minorHAnsi" w:cstheme="minorHAnsi"/>
                <w:w w:val="105"/>
                <w:sz w:val="20"/>
                <w:szCs w:val="20"/>
              </w:rPr>
              <w:t>Analyze</w:t>
            </w:r>
            <w:r w:rsidRPr="00FF193D">
              <w:rPr>
                <w:rFonts w:asciiTheme="minorHAnsi" w:hAnsiTheme="minorHAnsi" w:cstheme="minorHAnsi"/>
                <w:w w:val="105"/>
                <w:sz w:val="20"/>
                <w:szCs w:val="20"/>
              </w:rPr>
              <w:t xml:space="preserve"> technolog</w:t>
            </w:r>
            <w:r>
              <w:rPr>
                <w:rFonts w:asciiTheme="minorHAnsi" w:hAnsiTheme="minorHAnsi" w:cstheme="minorHAnsi"/>
                <w:w w:val="105"/>
                <w:sz w:val="20"/>
                <w:szCs w:val="20"/>
              </w:rPr>
              <w:t>ies</w:t>
            </w:r>
            <w:r w:rsidRPr="00FF193D">
              <w:rPr>
                <w:rFonts w:asciiTheme="minorHAnsi" w:hAnsiTheme="minorHAnsi" w:cstheme="minorHAnsi"/>
                <w:w w:val="105"/>
                <w:sz w:val="20"/>
                <w:szCs w:val="20"/>
              </w:rPr>
              <w:t xml:space="preserve"> in reading</w:t>
            </w:r>
            <w:r>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instruction</w:t>
            </w:r>
            <w:r>
              <w:rPr>
                <w:rFonts w:asciiTheme="minorHAnsi" w:hAnsiTheme="minorHAnsi" w:cstheme="minorHAnsi"/>
                <w:w w:val="105"/>
                <w:sz w:val="20"/>
                <w:szCs w:val="20"/>
              </w:rPr>
              <w:t>, assessments, and progress monitoring, with strong consideration of digital literacies.</w:t>
            </w:r>
          </w:p>
          <w:p w14:paraId="1D277993" w14:textId="220A5D3E" w:rsidR="005B17CE" w:rsidRDefault="005B17CE" w:rsidP="005B17CE"/>
        </w:tc>
        <w:tc>
          <w:tcPr>
            <w:tcW w:w="1703" w:type="dxa"/>
          </w:tcPr>
          <w:p w14:paraId="0E6FBF9E" w14:textId="4EAB5EB3" w:rsidR="005B17CE" w:rsidRDefault="005B17CE" w:rsidP="005B17CE">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7016C140" w14:textId="79563F8B" w:rsidR="005B17CE" w:rsidRDefault="002A6233" w:rsidP="005B17CE">
            <w:r>
              <w:rPr>
                <w:i/>
                <w:sz w:val="20"/>
                <w:szCs w:val="20"/>
              </w:rPr>
              <w:t>Technology</w:t>
            </w:r>
            <w:r w:rsidR="005B17CE">
              <w:rPr>
                <w:i/>
                <w:sz w:val="20"/>
                <w:szCs w:val="20"/>
              </w:rPr>
              <w:t>; In class/online activities</w:t>
            </w:r>
          </w:p>
        </w:tc>
      </w:tr>
      <w:tr w:rsidR="005B17CE" w14:paraId="00E52968" w14:textId="77777777" w:rsidTr="005B17CE">
        <w:trPr>
          <w:cantSplit/>
        </w:trPr>
        <w:tc>
          <w:tcPr>
            <w:tcW w:w="4407" w:type="dxa"/>
          </w:tcPr>
          <w:p w14:paraId="22A5A7EF" w14:textId="023A05AC" w:rsidR="002A6233" w:rsidRPr="00FF193D" w:rsidRDefault="002A6233" w:rsidP="002A6233">
            <w:pPr>
              <w:numPr>
                <w:ilvl w:val="0"/>
                <w:numId w:val="12"/>
              </w:numPr>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9. </w:t>
            </w:r>
            <w:r>
              <w:rPr>
                <w:rFonts w:asciiTheme="minorHAnsi" w:hAnsiTheme="minorHAnsi" w:cstheme="minorHAnsi"/>
                <w:w w:val="105"/>
                <w:sz w:val="20"/>
                <w:szCs w:val="20"/>
              </w:rPr>
              <w:t>Utilize</w:t>
            </w:r>
            <w:r w:rsidRPr="00FF193D">
              <w:rPr>
                <w:rFonts w:asciiTheme="minorHAnsi" w:hAnsiTheme="minorHAnsi" w:cstheme="minorHAnsi"/>
                <w:w w:val="105"/>
                <w:sz w:val="20"/>
                <w:szCs w:val="20"/>
              </w:rPr>
              <w:t xml:space="preserve"> technolog</w:t>
            </w:r>
            <w:r>
              <w:rPr>
                <w:rFonts w:asciiTheme="minorHAnsi" w:hAnsiTheme="minorHAnsi" w:cstheme="minorHAnsi"/>
                <w:w w:val="105"/>
                <w:sz w:val="20"/>
                <w:szCs w:val="20"/>
              </w:rPr>
              <w:t>ies</w:t>
            </w:r>
            <w:r w:rsidRPr="00FF193D">
              <w:rPr>
                <w:rFonts w:asciiTheme="minorHAnsi" w:hAnsiTheme="minorHAnsi" w:cstheme="minorHAnsi"/>
                <w:w w:val="105"/>
                <w:sz w:val="20"/>
                <w:szCs w:val="20"/>
              </w:rPr>
              <w:t xml:space="preserve"> in reading</w:t>
            </w:r>
            <w:r>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instruction</w:t>
            </w:r>
            <w:r>
              <w:rPr>
                <w:rFonts w:asciiTheme="minorHAnsi" w:hAnsiTheme="minorHAnsi" w:cstheme="minorHAnsi"/>
                <w:w w:val="105"/>
                <w:sz w:val="20"/>
                <w:szCs w:val="20"/>
              </w:rPr>
              <w:t xml:space="preserve">, assessments, and progress monitoring, with strong consideration of digital literacies with specific </w:t>
            </w:r>
            <w:r w:rsidR="005A171C" w:rsidRPr="005A171C">
              <w:rPr>
                <w:rFonts w:asciiTheme="minorHAnsi" w:hAnsiTheme="minorHAnsi" w:cstheme="minorHAnsi"/>
                <w:w w:val="105"/>
                <w:sz w:val="20"/>
                <w:szCs w:val="20"/>
                <w:u w:val="single"/>
              </w:rPr>
              <w:t>secondary</w:t>
            </w:r>
            <w:r w:rsidR="005A171C">
              <w:rPr>
                <w:rFonts w:asciiTheme="minorHAnsi" w:hAnsiTheme="minorHAnsi" w:cstheme="minorHAnsi"/>
                <w:w w:val="105"/>
                <w:sz w:val="20"/>
                <w:szCs w:val="20"/>
              </w:rPr>
              <w:t xml:space="preserve"> </w:t>
            </w:r>
            <w:r>
              <w:rPr>
                <w:rFonts w:asciiTheme="minorHAnsi" w:hAnsiTheme="minorHAnsi" w:cstheme="minorHAnsi"/>
                <w:w w:val="105"/>
                <w:sz w:val="20"/>
                <w:szCs w:val="20"/>
              </w:rPr>
              <w:t>students with mid/moderate disabilities.</w:t>
            </w:r>
          </w:p>
          <w:p w14:paraId="79D8F5DB" w14:textId="5F767142" w:rsidR="005B17CE" w:rsidRDefault="005B17CE" w:rsidP="005B17CE"/>
        </w:tc>
        <w:tc>
          <w:tcPr>
            <w:tcW w:w="1703" w:type="dxa"/>
          </w:tcPr>
          <w:p w14:paraId="135CBB16" w14:textId="77EB445C" w:rsidR="005B17CE" w:rsidRDefault="005B17CE" w:rsidP="005B17CE">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6781FD74" w14:textId="17AA78E8" w:rsidR="005B17CE" w:rsidRDefault="005B17CE" w:rsidP="005B17CE">
            <w:r>
              <w:rPr>
                <w:i/>
                <w:sz w:val="20"/>
                <w:szCs w:val="20"/>
              </w:rPr>
              <w:t>Technology Share, in class activities</w:t>
            </w:r>
          </w:p>
        </w:tc>
      </w:tr>
      <w:tr w:rsidR="009877FC" w14:paraId="59FD5932" w14:textId="77777777" w:rsidTr="005B17CE">
        <w:trPr>
          <w:cantSplit/>
        </w:trPr>
        <w:tc>
          <w:tcPr>
            <w:tcW w:w="4407" w:type="dxa"/>
          </w:tcPr>
          <w:p w14:paraId="3DBC182C" w14:textId="18B76D04" w:rsidR="009877FC" w:rsidRPr="00FF193D" w:rsidRDefault="009877FC" w:rsidP="009877FC">
            <w:pPr>
              <w:numPr>
                <w:ilvl w:val="0"/>
                <w:numId w:val="12"/>
              </w:numPr>
              <w:ind w:left="0"/>
              <w:textAlignment w:val="baseline"/>
              <w:rPr>
                <w:rFonts w:asciiTheme="minorHAnsi" w:hAnsiTheme="minorHAnsi" w:cstheme="minorHAnsi"/>
                <w:w w:val="105"/>
                <w:sz w:val="20"/>
                <w:szCs w:val="20"/>
              </w:rPr>
            </w:pPr>
            <w:r w:rsidRPr="00FF193D">
              <w:rPr>
                <w:rFonts w:asciiTheme="minorHAnsi" w:hAnsiTheme="minorHAnsi" w:cstheme="minorHAnsi"/>
                <w:w w:val="105"/>
                <w:sz w:val="20"/>
                <w:szCs w:val="20"/>
              </w:rPr>
              <w:t xml:space="preserve">10.Identify the issues related to </w:t>
            </w:r>
            <w:r w:rsidR="005A171C">
              <w:rPr>
                <w:rFonts w:asciiTheme="minorHAnsi" w:hAnsiTheme="minorHAnsi" w:cstheme="minorHAnsi"/>
                <w:w w:val="105"/>
                <w:sz w:val="20"/>
                <w:szCs w:val="20"/>
              </w:rPr>
              <w:t xml:space="preserve">overall </w:t>
            </w:r>
            <w:r w:rsidRPr="00FF193D">
              <w:rPr>
                <w:rFonts w:asciiTheme="minorHAnsi" w:hAnsiTheme="minorHAnsi" w:cstheme="minorHAnsi"/>
                <w:w w:val="105"/>
                <w:sz w:val="20"/>
                <w:szCs w:val="20"/>
              </w:rPr>
              <w:t xml:space="preserve">participation and accommodations in assessments for </w:t>
            </w:r>
            <w:r w:rsidR="005A171C" w:rsidRPr="005A171C">
              <w:rPr>
                <w:rFonts w:asciiTheme="minorHAnsi" w:hAnsiTheme="minorHAnsi" w:cstheme="minorHAnsi"/>
                <w:w w:val="105"/>
                <w:sz w:val="20"/>
                <w:szCs w:val="20"/>
                <w:u w:val="single"/>
              </w:rPr>
              <w:t>secondary</w:t>
            </w:r>
            <w:r w:rsidR="005A171C">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w:t>
            </w:r>
            <w:r w:rsidR="005A171C">
              <w:rPr>
                <w:rFonts w:asciiTheme="minorHAnsi" w:hAnsiTheme="minorHAnsi" w:cstheme="minorHAnsi"/>
                <w:w w:val="105"/>
                <w:sz w:val="20"/>
                <w:szCs w:val="20"/>
              </w:rPr>
              <w:t>s</w:t>
            </w:r>
            <w:r w:rsidRPr="00FF193D">
              <w:rPr>
                <w:rFonts w:asciiTheme="minorHAnsi" w:hAnsiTheme="minorHAnsi" w:cstheme="minorHAnsi"/>
                <w:w w:val="105"/>
                <w:sz w:val="20"/>
                <w:szCs w:val="20"/>
              </w:rPr>
              <w:t xml:space="preserve">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w:t>
            </w:r>
            <w:r w:rsidRPr="00FF193D">
              <w:rPr>
                <w:rFonts w:asciiTheme="minorHAnsi" w:hAnsiTheme="minorHAnsi" w:cstheme="minorHAnsi"/>
                <w:spacing w:val="-7"/>
                <w:w w:val="105"/>
                <w:sz w:val="20"/>
                <w:szCs w:val="20"/>
              </w:rPr>
              <w:t xml:space="preserve"> </w:t>
            </w:r>
            <w:r w:rsidRPr="00FF193D">
              <w:rPr>
                <w:rFonts w:asciiTheme="minorHAnsi" w:hAnsiTheme="minorHAnsi" w:cstheme="minorHAnsi"/>
                <w:w w:val="105"/>
                <w:sz w:val="20"/>
                <w:szCs w:val="20"/>
              </w:rPr>
              <w:t>disabilities.</w:t>
            </w:r>
          </w:p>
        </w:tc>
        <w:tc>
          <w:tcPr>
            <w:tcW w:w="1703" w:type="dxa"/>
          </w:tcPr>
          <w:p w14:paraId="73F835CF" w14:textId="77777777" w:rsidR="009877FC" w:rsidRPr="002051B4" w:rsidRDefault="009877FC" w:rsidP="005B17CE">
            <w:pPr>
              <w:rPr>
                <w:rFonts w:ascii="Calibri" w:eastAsia="Calibri" w:hAnsi="Calibri" w:cs="Calibri"/>
                <w:sz w:val="20"/>
                <w:szCs w:val="20"/>
              </w:rPr>
            </w:pPr>
          </w:p>
        </w:tc>
        <w:tc>
          <w:tcPr>
            <w:tcW w:w="4670" w:type="dxa"/>
          </w:tcPr>
          <w:p w14:paraId="143540A3" w14:textId="77777777" w:rsidR="009877FC" w:rsidRDefault="009877FC" w:rsidP="005B17CE">
            <w:pPr>
              <w:rPr>
                <w:i/>
                <w:sz w:val="20"/>
                <w:szCs w:val="20"/>
              </w:rPr>
            </w:pPr>
          </w:p>
        </w:tc>
      </w:tr>
    </w:tbl>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5B17CE">
        <w:trPr>
          <w:tblHeader/>
        </w:trPr>
        <w:tc>
          <w:tcPr>
            <w:tcW w:w="10780" w:type="dxa"/>
          </w:tcPr>
          <w:p w14:paraId="4EC7F4E1" w14:textId="67A8D396" w:rsidR="00F64260" w:rsidRDefault="00786121" w:rsidP="000556B3">
            <w:pPr>
              <w:keepNext/>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5B17CE" w14:paraId="12F1D273" w14:textId="77777777" w:rsidTr="005B17CE">
        <w:tc>
          <w:tcPr>
            <w:tcW w:w="10780" w:type="dxa"/>
          </w:tcPr>
          <w:p w14:paraId="1B9858FD" w14:textId="77777777" w:rsidR="003A59B8" w:rsidRPr="003A59B8" w:rsidRDefault="009877FC" w:rsidP="009877FC">
            <w:pPr>
              <w:pStyle w:val="ListParagraph"/>
              <w:numPr>
                <w:ilvl w:val="0"/>
                <w:numId w:val="8"/>
              </w:numPr>
              <w:spacing w:line="240" w:lineRule="auto"/>
              <w:rPr>
                <w:rFonts w:asciiTheme="majorHAnsi" w:hAnsiTheme="majorHAnsi" w:cstheme="majorHAnsi"/>
              </w:rPr>
            </w:pPr>
            <w:bookmarkStart w:id="30" w:name="outline"/>
            <w:bookmarkEnd w:id="30"/>
            <w:r w:rsidRPr="009877FC">
              <w:rPr>
                <w:rFonts w:ascii="Calibri" w:eastAsia="Calibri" w:hAnsi="Calibri" w:cs="Calibri"/>
                <w:smallCaps/>
                <w:color w:val="622423"/>
              </w:rPr>
              <w:t xml:space="preserve">MTSS/RTI:  </w:t>
            </w:r>
          </w:p>
          <w:p w14:paraId="30C818F4" w14:textId="2B09EFF0" w:rsidR="005B17CE" w:rsidRPr="00CD32FF" w:rsidRDefault="009877FC" w:rsidP="003A59B8">
            <w:pPr>
              <w:pStyle w:val="ListParagraph"/>
              <w:numPr>
                <w:ilvl w:val="1"/>
                <w:numId w:val="12"/>
              </w:numPr>
              <w:spacing w:line="240" w:lineRule="auto"/>
              <w:rPr>
                <w:rFonts w:asciiTheme="majorHAnsi" w:hAnsiTheme="majorHAnsi" w:cstheme="majorHAnsi"/>
              </w:rPr>
            </w:pPr>
            <w:r w:rsidRPr="009877FC">
              <w:rPr>
                <w:rFonts w:ascii="Calibri" w:eastAsia="Calibri" w:hAnsi="Calibri" w:cs="Calibri"/>
                <w:smallCaps/>
                <w:color w:val="622423"/>
              </w:rPr>
              <w:t>A Review &amp; introduction to Intensive Interventions (DBI)</w:t>
            </w:r>
          </w:p>
          <w:p w14:paraId="0AB31323" w14:textId="41CEACCD" w:rsidR="00CD32FF" w:rsidRPr="009877FC" w:rsidRDefault="00CD32FF" w:rsidP="00CD32FF">
            <w:pPr>
              <w:pStyle w:val="ListParagraph"/>
              <w:spacing w:line="240" w:lineRule="auto"/>
              <w:ind w:left="360"/>
              <w:rPr>
                <w:rFonts w:asciiTheme="majorHAnsi" w:hAnsiTheme="majorHAnsi" w:cstheme="majorHAnsi"/>
              </w:rPr>
            </w:pPr>
          </w:p>
        </w:tc>
      </w:tr>
      <w:tr w:rsidR="005B17CE" w14:paraId="60A9EC64" w14:textId="77777777" w:rsidTr="005B17CE">
        <w:tc>
          <w:tcPr>
            <w:tcW w:w="10780" w:type="dxa"/>
          </w:tcPr>
          <w:p w14:paraId="72FB8BC9" w14:textId="77777777" w:rsidR="003A59B8" w:rsidRPr="003A59B8" w:rsidRDefault="009877FC" w:rsidP="009877FC">
            <w:pPr>
              <w:pStyle w:val="ListParagraph"/>
              <w:numPr>
                <w:ilvl w:val="0"/>
                <w:numId w:val="8"/>
              </w:numPr>
              <w:rPr>
                <w:rFonts w:asciiTheme="minorHAnsi" w:eastAsia="Calibri" w:hAnsiTheme="minorHAnsi" w:cs="Calibri"/>
                <w:i/>
                <w:sz w:val="20"/>
                <w:szCs w:val="20"/>
              </w:rPr>
            </w:pPr>
            <w:r w:rsidRPr="009877FC">
              <w:rPr>
                <w:rFonts w:ascii="Calibri" w:eastAsia="Calibri" w:hAnsi="Calibri" w:cs="Calibri"/>
                <w:smallCaps/>
                <w:color w:val="622423"/>
              </w:rPr>
              <w:t xml:space="preserve">Special Education Timeline:  Referral, Comprehensive Evaluation/Evaluation Reports &amp; Eligibility </w:t>
            </w:r>
          </w:p>
          <w:p w14:paraId="3E379629" w14:textId="52B21586" w:rsidR="005B17CE" w:rsidRPr="00CD32FF" w:rsidRDefault="009877FC" w:rsidP="003A59B8">
            <w:pPr>
              <w:pStyle w:val="ListParagraph"/>
              <w:numPr>
                <w:ilvl w:val="0"/>
                <w:numId w:val="13"/>
              </w:numPr>
              <w:rPr>
                <w:rFonts w:asciiTheme="minorHAnsi" w:eastAsia="Calibri" w:hAnsiTheme="minorHAnsi" w:cs="Calibri"/>
                <w:i/>
                <w:sz w:val="20"/>
                <w:szCs w:val="20"/>
              </w:rPr>
            </w:pPr>
            <w:r w:rsidRPr="009877FC">
              <w:rPr>
                <w:rFonts w:ascii="Calibri" w:eastAsia="Calibri" w:hAnsi="Calibri" w:cs="Calibri"/>
                <w:smallCaps/>
                <w:color w:val="622423"/>
              </w:rPr>
              <w:t>Inclusive of 5 Critical Areas of Reading Instruction &amp; Considerations for ELLs</w:t>
            </w:r>
          </w:p>
          <w:p w14:paraId="294895DC" w14:textId="07721260" w:rsidR="00CD32FF" w:rsidRPr="009877FC" w:rsidRDefault="00CD32FF" w:rsidP="00CD32FF">
            <w:pPr>
              <w:pStyle w:val="ListParagraph"/>
              <w:ind w:left="360"/>
              <w:rPr>
                <w:rFonts w:asciiTheme="minorHAnsi" w:eastAsia="Calibri" w:hAnsiTheme="minorHAnsi" w:cs="Calibri"/>
                <w:i/>
                <w:sz w:val="20"/>
                <w:szCs w:val="20"/>
              </w:rPr>
            </w:pPr>
          </w:p>
        </w:tc>
      </w:tr>
      <w:tr w:rsidR="005B17CE" w14:paraId="2189B02D" w14:textId="77777777" w:rsidTr="005B17CE">
        <w:tc>
          <w:tcPr>
            <w:tcW w:w="10780" w:type="dxa"/>
          </w:tcPr>
          <w:p w14:paraId="7428B0AF"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Word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Phonemic Awareness</w:t>
            </w:r>
            <w:r w:rsidRPr="009877FC">
              <w:rPr>
                <w:rFonts w:ascii="Calibri" w:eastAsia="Calibri" w:hAnsi="Calibri" w:cs="Calibri"/>
                <w:smallCaps/>
                <w:color w:val="622423"/>
              </w:rPr>
              <w:t xml:space="preserve"> &amp; </w:t>
            </w:r>
            <w:r w:rsidRPr="009877FC">
              <w:rPr>
                <w:rFonts w:ascii="Calibri" w:eastAsia="Calibri" w:hAnsi="Calibri" w:cs="Calibri"/>
                <w:b/>
                <w:smallCaps/>
                <w:color w:val="622423"/>
              </w:rPr>
              <w:t xml:space="preserve">Phonics/Sight Words </w:t>
            </w:r>
          </w:p>
          <w:p w14:paraId="0499F647" w14:textId="33254C0C" w:rsidR="005B17CE" w:rsidRPr="009877FC" w:rsidRDefault="009877FC" w:rsidP="003A59B8">
            <w:pPr>
              <w:pStyle w:val="ListParagraph"/>
              <w:numPr>
                <w:ilvl w:val="0"/>
                <w:numId w:val="14"/>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(PAT-2, CTOPP-2, TOWRE-2, GRDT-2; TOSWRD-2)</w:t>
            </w:r>
          </w:p>
        </w:tc>
      </w:tr>
      <w:tr w:rsidR="005B17CE" w14:paraId="57156029" w14:textId="77777777" w:rsidTr="005B17CE">
        <w:tc>
          <w:tcPr>
            <w:tcW w:w="10780" w:type="dxa"/>
          </w:tcPr>
          <w:p w14:paraId="1DEA4998"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Fluency</w:t>
            </w:r>
            <w:r w:rsidRPr="009877FC">
              <w:rPr>
                <w:rFonts w:ascii="Calibri" w:eastAsia="Calibri" w:hAnsi="Calibri" w:cs="Calibri"/>
                <w:smallCaps/>
                <w:color w:val="622423"/>
              </w:rPr>
              <w:t xml:space="preserve"> inclusive of NRTs </w:t>
            </w:r>
          </w:p>
          <w:p w14:paraId="10A1A469" w14:textId="085424CF" w:rsidR="005B17CE" w:rsidRPr="00CD32FF" w:rsidRDefault="009877FC" w:rsidP="003A59B8">
            <w:pPr>
              <w:pStyle w:val="ListParagraph"/>
              <w:numPr>
                <w:ilvl w:val="0"/>
                <w:numId w:val="15"/>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lastRenderedPageBreak/>
              <w:t>(GORT-5)</w:t>
            </w:r>
          </w:p>
          <w:p w14:paraId="228EB07D" w14:textId="75887FF4" w:rsidR="00CD32FF" w:rsidRPr="009877FC" w:rsidRDefault="00CD32FF" w:rsidP="00CD32FF">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4CE3C17B" w14:textId="77777777" w:rsidTr="005B17CE">
        <w:tc>
          <w:tcPr>
            <w:tcW w:w="10780" w:type="dxa"/>
          </w:tcPr>
          <w:p w14:paraId="305E5302"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lastRenderedPageBreak/>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Comprehension</w:t>
            </w:r>
            <w:r w:rsidRPr="009877FC">
              <w:rPr>
                <w:rFonts w:ascii="Calibri" w:eastAsia="Calibri" w:hAnsi="Calibri" w:cs="Calibri"/>
                <w:smallCaps/>
                <w:color w:val="622423"/>
              </w:rPr>
              <w:t xml:space="preserve"> &amp; </w:t>
            </w:r>
            <w:r w:rsidRPr="009877FC">
              <w:rPr>
                <w:rFonts w:ascii="Calibri" w:eastAsia="Calibri" w:hAnsi="Calibri" w:cs="Calibri"/>
                <w:b/>
                <w:smallCaps/>
                <w:color w:val="622423"/>
              </w:rPr>
              <w:t>Vocabulary</w:t>
            </w:r>
            <w:r w:rsidRPr="009877FC">
              <w:rPr>
                <w:rFonts w:ascii="Calibri" w:eastAsia="Calibri" w:hAnsi="Calibri" w:cs="Calibri"/>
                <w:smallCaps/>
                <w:color w:val="622423"/>
              </w:rPr>
              <w:t xml:space="preserve"> </w:t>
            </w:r>
          </w:p>
          <w:p w14:paraId="7012E3DC" w14:textId="135EF80B" w:rsidR="005B17CE" w:rsidRPr="00CD32FF" w:rsidRDefault="009877FC" w:rsidP="003A59B8">
            <w:pPr>
              <w:pStyle w:val="ListParagraph"/>
              <w:numPr>
                <w:ilvl w:val="0"/>
                <w:numId w:val="16"/>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(TORC-4, TOSCRF-2)</w:t>
            </w:r>
          </w:p>
          <w:p w14:paraId="09B3AC40" w14:textId="242D11DC" w:rsidR="00CD32FF" w:rsidRPr="009877FC" w:rsidRDefault="00CD32FF" w:rsidP="00CD32FF">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66517F0A" w14:textId="77777777" w:rsidTr="005B17CE">
        <w:tc>
          <w:tcPr>
            <w:tcW w:w="10780" w:type="dxa"/>
          </w:tcPr>
          <w:p w14:paraId="46ADBFC2"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Written Expression</w:t>
            </w:r>
            <w:r w:rsidRPr="009877FC">
              <w:rPr>
                <w:rFonts w:ascii="Calibri" w:eastAsia="Calibri" w:hAnsi="Calibri" w:cs="Calibri"/>
                <w:smallCaps/>
                <w:color w:val="622423"/>
              </w:rPr>
              <w:t xml:space="preserve"> </w:t>
            </w:r>
          </w:p>
          <w:p w14:paraId="18930C4F" w14:textId="652463C7" w:rsidR="005B17CE" w:rsidRPr="00CD32FF" w:rsidRDefault="009877FC" w:rsidP="003A59B8">
            <w:pPr>
              <w:pStyle w:val="ListParagraph"/>
              <w:numPr>
                <w:ilvl w:val="0"/>
                <w:numId w:val="17"/>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(TWS-5; TOWL-4)</w:t>
            </w:r>
          </w:p>
          <w:p w14:paraId="1DE7F292" w14:textId="1FBC5EF1" w:rsidR="00CD32FF" w:rsidRPr="009877FC" w:rsidRDefault="00CD32FF" w:rsidP="00CD32FF">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0E7E059A" w14:textId="77777777" w:rsidTr="005B17CE">
        <w:tc>
          <w:tcPr>
            <w:tcW w:w="10780" w:type="dxa"/>
          </w:tcPr>
          <w:p w14:paraId="637B4A4B"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 xml:space="preserve">RTI Reading Profiles &amp; Special Education Timeline:  </w:t>
            </w:r>
          </w:p>
          <w:p w14:paraId="39778053" w14:textId="60503190" w:rsidR="005B17CE" w:rsidRPr="00CD32FF" w:rsidRDefault="009877FC" w:rsidP="003A59B8">
            <w:pPr>
              <w:pStyle w:val="ListParagraph"/>
              <w:numPr>
                <w:ilvl w:val="0"/>
                <w:numId w:val="1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Eligibility &amp; IEP Development</w:t>
            </w:r>
            <w:r w:rsidR="005A171C">
              <w:rPr>
                <w:rFonts w:ascii="Calibri" w:eastAsia="Calibri" w:hAnsi="Calibri" w:cs="Calibri"/>
                <w:smallCaps/>
                <w:color w:val="622423"/>
              </w:rPr>
              <w:t xml:space="preserve"> (Transition Planning</w:t>
            </w:r>
          </w:p>
          <w:p w14:paraId="52A13BC0" w14:textId="68EF2551" w:rsidR="00CD32FF" w:rsidRPr="009877FC" w:rsidRDefault="00CD32FF" w:rsidP="00CD32FF">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28B8E438" w14:textId="77777777" w:rsidTr="005B17CE">
        <w:tc>
          <w:tcPr>
            <w:tcW w:w="10780" w:type="dxa"/>
          </w:tcPr>
          <w:p w14:paraId="6EDC1782" w14:textId="77777777" w:rsidR="003A59B8" w:rsidRPr="003A59B8"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 xml:space="preserve">Developing the IEP (continued); </w:t>
            </w:r>
          </w:p>
          <w:p w14:paraId="708B03CB" w14:textId="0C4F069B" w:rsidR="005B17CE" w:rsidRPr="00CD32FF" w:rsidRDefault="009877FC" w:rsidP="003A59B8">
            <w:pPr>
              <w:pStyle w:val="ListParagraph"/>
              <w:numPr>
                <w:ilvl w:val="0"/>
                <w:numId w:val="19"/>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Collaborating with Families &amp; Professionals</w:t>
            </w:r>
            <w:r w:rsidR="005A171C">
              <w:rPr>
                <w:rFonts w:ascii="Calibri" w:eastAsia="Calibri" w:hAnsi="Calibri" w:cs="Calibri"/>
                <w:smallCaps/>
                <w:color w:val="622423"/>
              </w:rPr>
              <w:t xml:space="preserve"> (Transition Planning</w:t>
            </w:r>
            <w:r w:rsidR="00CD32FF">
              <w:rPr>
                <w:rFonts w:ascii="Calibri" w:eastAsia="Calibri" w:hAnsi="Calibri" w:cs="Calibri"/>
                <w:smallCaps/>
                <w:color w:val="622423"/>
              </w:rPr>
              <w:t>)</w:t>
            </w:r>
          </w:p>
          <w:p w14:paraId="6C3AD98D" w14:textId="0A0803EB" w:rsidR="00CD32FF" w:rsidRPr="00CD32FF" w:rsidRDefault="00CD32FF" w:rsidP="00CD32FF">
            <w:p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r w:rsidR="005B17CE" w14:paraId="38B61275" w14:textId="77777777" w:rsidTr="005B17CE">
        <w:tc>
          <w:tcPr>
            <w:tcW w:w="10780" w:type="dxa"/>
          </w:tcPr>
          <w:p w14:paraId="488079DF" w14:textId="77777777" w:rsidR="003A59B8" w:rsidRDefault="009877FC" w:rsidP="00CD32FF">
            <w:pPr>
              <w:pStyle w:val="ListParagraph"/>
              <w:widowControl w:val="0"/>
              <w:numPr>
                <w:ilvl w:val="0"/>
                <w:numId w:val="8"/>
              </w:numPr>
              <w:rPr>
                <w:rFonts w:ascii="Calibri" w:eastAsia="Calibri" w:hAnsi="Calibri" w:cs="Calibri"/>
                <w:smallCaps/>
                <w:color w:val="622423"/>
              </w:rPr>
            </w:pPr>
            <w:r w:rsidRPr="00CD32FF">
              <w:rPr>
                <w:rFonts w:ascii="Calibri" w:eastAsia="Calibri" w:hAnsi="Calibri" w:cs="Calibri"/>
                <w:smallCaps/>
                <w:color w:val="622423"/>
              </w:rPr>
              <w:t xml:space="preserve">Implementing the IEP: </w:t>
            </w:r>
          </w:p>
          <w:p w14:paraId="0803E5C9" w14:textId="1228FDE5" w:rsidR="005B17CE" w:rsidRPr="00CD32FF" w:rsidRDefault="009877FC" w:rsidP="003A59B8">
            <w:pPr>
              <w:pStyle w:val="ListParagraph"/>
              <w:widowControl w:val="0"/>
              <w:numPr>
                <w:ilvl w:val="0"/>
                <w:numId w:val="20"/>
              </w:numPr>
              <w:rPr>
                <w:rFonts w:ascii="Calibri" w:eastAsia="Calibri" w:hAnsi="Calibri" w:cs="Calibri"/>
                <w:smallCaps/>
                <w:color w:val="622423"/>
              </w:rPr>
            </w:pPr>
            <w:r w:rsidRPr="00CD32FF">
              <w:rPr>
                <w:rFonts w:ascii="Calibri" w:eastAsia="Calibri" w:hAnsi="Calibri" w:cs="Calibri"/>
                <w:smallCaps/>
                <w:color w:val="622423"/>
              </w:rPr>
              <w:t>Related Services Supplementary Aides &amp; services</w:t>
            </w:r>
            <w:r w:rsidR="005A171C" w:rsidRPr="00CD32FF">
              <w:rPr>
                <w:rFonts w:ascii="Calibri" w:eastAsia="Calibri" w:hAnsi="Calibri" w:cs="Calibri"/>
                <w:smallCaps/>
                <w:color w:val="622423"/>
              </w:rPr>
              <w:t xml:space="preserve"> (Transition Planning)</w:t>
            </w:r>
          </w:p>
          <w:p w14:paraId="2C78FE07" w14:textId="178297BD" w:rsidR="00CD32FF" w:rsidRPr="00CD32FF" w:rsidRDefault="00CD32FF" w:rsidP="00CD32FF">
            <w:pPr>
              <w:pStyle w:val="ListParagraph"/>
              <w:widowControl w:val="0"/>
              <w:ind w:left="360"/>
              <w:rPr>
                <w:rFonts w:ascii="Calibri" w:eastAsia="Calibri" w:hAnsi="Calibri" w:cs="Calibri"/>
                <w:color w:val="622423"/>
              </w:rPr>
            </w:pPr>
          </w:p>
        </w:tc>
      </w:tr>
      <w:tr w:rsidR="009877FC" w14:paraId="052184B4" w14:textId="77777777" w:rsidTr="005B17CE">
        <w:tc>
          <w:tcPr>
            <w:tcW w:w="10780" w:type="dxa"/>
          </w:tcPr>
          <w:p w14:paraId="1E10F628" w14:textId="0BC02EBB" w:rsidR="003A59B8" w:rsidRPr="003A59B8" w:rsidRDefault="009877FC" w:rsidP="003A59B8">
            <w:pPr>
              <w:pStyle w:val="ListParagraph"/>
              <w:widowControl w:val="0"/>
              <w:numPr>
                <w:ilvl w:val="0"/>
                <w:numId w:val="8"/>
              </w:numPr>
              <w:rPr>
                <w:rFonts w:ascii="Calibri" w:eastAsia="Calibri" w:hAnsi="Calibri" w:cs="Calibri"/>
                <w:smallCaps/>
                <w:color w:val="622423"/>
              </w:rPr>
            </w:pPr>
            <w:r w:rsidRPr="003A59B8">
              <w:rPr>
                <w:rFonts w:ascii="Calibri" w:eastAsia="Calibri" w:hAnsi="Calibri" w:cs="Calibri"/>
                <w:smallCaps/>
                <w:color w:val="622423"/>
              </w:rPr>
              <w:t xml:space="preserve">Implementing the IEP: </w:t>
            </w:r>
          </w:p>
          <w:p w14:paraId="561859B3" w14:textId="0C8E62A0" w:rsidR="009877FC" w:rsidRPr="003A59B8" w:rsidRDefault="009877FC" w:rsidP="003A59B8">
            <w:pPr>
              <w:pStyle w:val="ListParagraph"/>
              <w:widowControl w:val="0"/>
              <w:numPr>
                <w:ilvl w:val="0"/>
                <w:numId w:val="21"/>
              </w:numPr>
              <w:rPr>
                <w:rFonts w:ascii="Calibri" w:eastAsia="Calibri" w:hAnsi="Calibri" w:cs="Calibri"/>
                <w:smallCaps/>
                <w:color w:val="622423"/>
              </w:rPr>
            </w:pPr>
            <w:r w:rsidRPr="003A59B8">
              <w:rPr>
                <w:rFonts w:ascii="Calibri" w:eastAsia="Calibri" w:hAnsi="Calibri" w:cs="Calibri"/>
                <w:smallCaps/>
                <w:color w:val="622423"/>
              </w:rPr>
              <w:t>Continuum of Services, including   Co-Teaching</w:t>
            </w:r>
            <w:r w:rsidR="005A171C" w:rsidRPr="003A59B8">
              <w:rPr>
                <w:rFonts w:ascii="Calibri" w:eastAsia="Calibri" w:hAnsi="Calibri" w:cs="Calibri"/>
                <w:smallCaps/>
                <w:color w:val="622423"/>
              </w:rPr>
              <w:t xml:space="preserve"> (Transition Planning</w:t>
            </w:r>
            <w:r w:rsidR="00CD32FF" w:rsidRPr="003A59B8">
              <w:rPr>
                <w:rFonts w:ascii="Calibri" w:eastAsia="Calibri" w:hAnsi="Calibri" w:cs="Calibri"/>
                <w:smallCaps/>
                <w:color w:val="622423"/>
              </w:rPr>
              <w:t>)</w:t>
            </w:r>
          </w:p>
          <w:p w14:paraId="230EAD77" w14:textId="207C2807" w:rsidR="00CD32FF" w:rsidRPr="009877FC" w:rsidRDefault="00CD32FF" w:rsidP="009877FC">
            <w:pPr>
              <w:widowControl w:val="0"/>
              <w:rPr>
                <w:rFonts w:ascii="Calibri" w:eastAsia="Calibri" w:hAnsi="Calibri" w:cs="Calibri"/>
                <w:color w:val="622423"/>
              </w:rPr>
            </w:pPr>
          </w:p>
        </w:tc>
      </w:tr>
      <w:tr w:rsidR="009877FC" w14:paraId="66BA0B7C" w14:textId="77777777" w:rsidTr="005B17CE">
        <w:tc>
          <w:tcPr>
            <w:tcW w:w="10780" w:type="dxa"/>
          </w:tcPr>
          <w:p w14:paraId="065E9BD4" w14:textId="77777777" w:rsidR="003A59B8" w:rsidRDefault="009877FC" w:rsidP="00CD32FF">
            <w:pPr>
              <w:pStyle w:val="ListParagraph"/>
              <w:widowControl w:val="0"/>
              <w:numPr>
                <w:ilvl w:val="0"/>
                <w:numId w:val="8"/>
              </w:numPr>
              <w:rPr>
                <w:rFonts w:ascii="Calibri" w:eastAsia="Calibri" w:hAnsi="Calibri" w:cs="Calibri"/>
                <w:smallCaps/>
                <w:color w:val="622423"/>
              </w:rPr>
            </w:pPr>
            <w:r w:rsidRPr="00CD32FF">
              <w:rPr>
                <w:rFonts w:ascii="Calibri" w:eastAsia="Calibri" w:hAnsi="Calibri" w:cs="Calibri"/>
                <w:smallCaps/>
                <w:color w:val="622423"/>
              </w:rPr>
              <w:t xml:space="preserve">Implementing the IEP: </w:t>
            </w:r>
          </w:p>
          <w:p w14:paraId="59B567FF" w14:textId="7E14B88B" w:rsidR="009877FC" w:rsidRPr="00CD32FF" w:rsidRDefault="009877FC" w:rsidP="003A59B8">
            <w:pPr>
              <w:pStyle w:val="ListParagraph"/>
              <w:widowControl w:val="0"/>
              <w:numPr>
                <w:ilvl w:val="0"/>
                <w:numId w:val="22"/>
              </w:numPr>
              <w:rPr>
                <w:rFonts w:ascii="Calibri" w:eastAsia="Calibri" w:hAnsi="Calibri" w:cs="Calibri"/>
                <w:smallCaps/>
                <w:color w:val="622423"/>
              </w:rPr>
            </w:pPr>
            <w:r w:rsidRPr="00CD32FF">
              <w:rPr>
                <w:rFonts w:ascii="Calibri" w:eastAsia="Calibri" w:hAnsi="Calibri" w:cs="Calibri"/>
                <w:smallCaps/>
                <w:color w:val="622423"/>
              </w:rPr>
              <w:t>Evidence based Practices (EBP) &amp; Data Based individualization (DBI)</w:t>
            </w:r>
          </w:p>
          <w:p w14:paraId="1AEF3B13" w14:textId="7F361AF7" w:rsidR="00CD32FF" w:rsidRPr="00CD32FF" w:rsidRDefault="00CD32FF" w:rsidP="00CD32FF">
            <w:pPr>
              <w:pStyle w:val="ListParagraph"/>
              <w:widowControl w:val="0"/>
              <w:ind w:left="360"/>
              <w:rPr>
                <w:rFonts w:ascii="Calibri" w:eastAsia="Calibri" w:hAnsi="Calibri" w:cs="Calibri"/>
                <w:color w:val="622423"/>
              </w:rPr>
            </w:pPr>
          </w:p>
        </w:tc>
      </w:tr>
      <w:tr w:rsidR="009877FC" w14:paraId="5187FE2D" w14:textId="77777777" w:rsidTr="005B17CE">
        <w:tc>
          <w:tcPr>
            <w:tcW w:w="10780" w:type="dxa"/>
          </w:tcPr>
          <w:p w14:paraId="08A682AB" w14:textId="77777777" w:rsidR="003A59B8" w:rsidRDefault="009877FC" w:rsidP="00CD32FF">
            <w:pPr>
              <w:pStyle w:val="ListParagraph"/>
              <w:widowControl w:val="0"/>
              <w:numPr>
                <w:ilvl w:val="0"/>
                <w:numId w:val="8"/>
              </w:numPr>
              <w:rPr>
                <w:rFonts w:ascii="Calibri" w:eastAsia="Calibri" w:hAnsi="Calibri" w:cs="Calibri"/>
                <w:smallCaps/>
                <w:color w:val="622423"/>
              </w:rPr>
            </w:pPr>
            <w:r w:rsidRPr="00CD32FF">
              <w:rPr>
                <w:rFonts w:ascii="Calibri" w:eastAsia="Calibri" w:hAnsi="Calibri" w:cs="Calibri"/>
                <w:smallCaps/>
                <w:color w:val="622423"/>
              </w:rPr>
              <w:t>Specialized Language Programs</w:t>
            </w:r>
          </w:p>
          <w:p w14:paraId="5E8AB793" w14:textId="20E926E4" w:rsidR="009877FC" w:rsidRPr="00CD32FF" w:rsidRDefault="009877FC" w:rsidP="003A59B8">
            <w:pPr>
              <w:pStyle w:val="ListParagraph"/>
              <w:widowControl w:val="0"/>
              <w:numPr>
                <w:ilvl w:val="0"/>
                <w:numId w:val="23"/>
              </w:numPr>
              <w:rPr>
                <w:rFonts w:ascii="Calibri" w:eastAsia="Calibri" w:hAnsi="Calibri" w:cs="Calibri"/>
                <w:smallCaps/>
                <w:color w:val="622423"/>
              </w:rPr>
            </w:pPr>
            <w:r w:rsidRPr="00CD32FF">
              <w:rPr>
                <w:rFonts w:ascii="Calibri" w:eastAsia="Calibri" w:hAnsi="Calibri" w:cs="Calibri"/>
                <w:smallCaps/>
                <w:color w:val="622423"/>
              </w:rPr>
              <w:t>Becoming an Effective Literacy Teacher</w:t>
            </w:r>
          </w:p>
          <w:p w14:paraId="139EE370" w14:textId="45BF7F7D" w:rsidR="00CD32FF" w:rsidRPr="00CD32FF" w:rsidRDefault="00CD32FF" w:rsidP="00CD32FF">
            <w:pPr>
              <w:pStyle w:val="ListParagraph"/>
              <w:widowControl w:val="0"/>
              <w:ind w:left="360"/>
              <w:rPr>
                <w:rFonts w:ascii="Calibri" w:eastAsia="Calibri" w:hAnsi="Calibri" w:cs="Calibri"/>
                <w:smallCaps/>
                <w:color w:val="622423"/>
              </w:rPr>
            </w:pPr>
          </w:p>
        </w:tc>
      </w:tr>
    </w:tbl>
    <w:p w14:paraId="62234A1C" w14:textId="77777777" w:rsidR="00F64260" w:rsidRDefault="00F64260"/>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w:t>
            </w:r>
            <w:r w:rsidRPr="000357A5">
              <w:lastRenderedPageBreak/>
              <w:t xml:space="preserve">(5)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7D4924" w:rsidRPr="00402602" w14:paraId="3E2C3849" w14:textId="77777777" w:rsidTr="005B17CE">
        <w:trPr>
          <w:cantSplit/>
          <w:tblHeader/>
        </w:trPr>
        <w:tc>
          <w:tcPr>
            <w:tcW w:w="3168" w:type="dxa"/>
            <w:vAlign w:val="center"/>
          </w:tcPr>
          <w:p w14:paraId="0BCCACCB" w14:textId="42370C71" w:rsidR="007D4924" w:rsidRPr="00A83A6C" w:rsidRDefault="007D4924" w:rsidP="007D4924">
            <w:pPr>
              <w:pStyle w:val="Heading5"/>
              <w:jc w:val="center"/>
            </w:pPr>
            <w:r w:rsidRPr="00A83A6C">
              <w:t>Name</w:t>
            </w:r>
          </w:p>
        </w:tc>
        <w:tc>
          <w:tcPr>
            <w:tcW w:w="3254" w:type="dxa"/>
            <w:vAlign w:val="center"/>
          </w:tcPr>
          <w:p w14:paraId="460D9FDE" w14:textId="58F4444E" w:rsidR="007D4924" w:rsidRPr="00A83A6C" w:rsidRDefault="007D4924" w:rsidP="007D4924">
            <w:pPr>
              <w:pStyle w:val="Heading5"/>
              <w:jc w:val="center"/>
            </w:pPr>
            <w:r w:rsidRPr="00A83A6C">
              <w:t>Position/affiliation</w:t>
            </w:r>
          </w:p>
        </w:tc>
        <w:bookmarkStart w:id="31" w:name="_Signature"/>
        <w:bookmarkEnd w:id="31"/>
        <w:tc>
          <w:tcPr>
            <w:tcW w:w="3197" w:type="dxa"/>
            <w:vAlign w:val="center"/>
          </w:tcPr>
          <w:p w14:paraId="13BAE35D" w14:textId="049BF1D0" w:rsidR="007D4924" w:rsidRPr="00A83A6C" w:rsidRDefault="007D4924" w:rsidP="007D492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0AF15342" w:rsidR="007D4924" w:rsidRPr="00A83A6C" w:rsidRDefault="007D4924" w:rsidP="007D4924">
            <w:pPr>
              <w:pStyle w:val="Heading5"/>
              <w:jc w:val="center"/>
            </w:pPr>
            <w:r w:rsidRPr="00A83A6C">
              <w:t>Date</w:t>
            </w:r>
          </w:p>
        </w:tc>
      </w:tr>
      <w:tr w:rsidR="007D4924" w14:paraId="3BE222E3" w14:textId="77777777" w:rsidTr="005B17CE">
        <w:trPr>
          <w:cantSplit/>
          <w:trHeight w:val="489"/>
        </w:trPr>
        <w:tc>
          <w:tcPr>
            <w:tcW w:w="3168" w:type="dxa"/>
            <w:vAlign w:val="center"/>
          </w:tcPr>
          <w:p w14:paraId="4178201C" w14:textId="7B16BE77" w:rsidR="007D4924" w:rsidRDefault="007D4924" w:rsidP="007D4924">
            <w:r>
              <w:t>Ying Hui-Michael</w:t>
            </w:r>
          </w:p>
        </w:tc>
        <w:tc>
          <w:tcPr>
            <w:tcW w:w="3254" w:type="dxa"/>
            <w:vAlign w:val="center"/>
          </w:tcPr>
          <w:p w14:paraId="3874B8F9" w14:textId="393B4CA4" w:rsidR="007D4924" w:rsidRDefault="007D4924" w:rsidP="007D4924">
            <w:r>
              <w:t xml:space="preserve">Chair, Special Education </w:t>
            </w:r>
          </w:p>
        </w:tc>
        <w:tc>
          <w:tcPr>
            <w:tcW w:w="3197" w:type="dxa"/>
            <w:vAlign w:val="center"/>
          </w:tcPr>
          <w:p w14:paraId="70E90A63" w14:textId="77777777" w:rsidR="007D4924" w:rsidRDefault="007D4924" w:rsidP="007D4924"/>
        </w:tc>
        <w:tc>
          <w:tcPr>
            <w:tcW w:w="1161" w:type="dxa"/>
            <w:vAlign w:val="center"/>
          </w:tcPr>
          <w:p w14:paraId="37406151" w14:textId="77777777" w:rsidR="007D4924" w:rsidRDefault="007D4924" w:rsidP="007D4924"/>
        </w:tc>
      </w:tr>
      <w:tr w:rsidR="007D4924" w14:paraId="0072B50B" w14:textId="77777777" w:rsidTr="00426546">
        <w:trPr>
          <w:cantSplit/>
          <w:trHeight w:val="489"/>
        </w:trPr>
        <w:tc>
          <w:tcPr>
            <w:tcW w:w="3168" w:type="dxa"/>
            <w:vAlign w:val="center"/>
          </w:tcPr>
          <w:p w14:paraId="6D613CB9" w14:textId="713D77A7" w:rsidR="007D4924" w:rsidRDefault="007D4924" w:rsidP="007D4924">
            <w:r>
              <w:t>Marie Lynch</w:t>
            </w:r>
          </w:p>
        </w:tc>
        <w:tc>
          <w:tcPr>
            <w:tcW w:w="3254" w:type="dxa"/>
            <w:vAlign w:val="center"/>
          </w:tcPr>
          <w:p w14:paraId="46637261" w14:textId="2CC11F36" w:rsidR="007D4924" w:rsidRDefault="007D4924" w:rsidP="007D4924">
            <w:r>
              <w:t>Program Director, Special Education M.Ed. with concentration in Elementary/Secondary Mild/Moderate Disabilities</w:t>
            </w:r>
          </w:p>
        </w:tc>
        <w:tc>
          <w:tcPr>
            <w:tcW w:w="3197" w:type="dxa"/>
            <w:vAlign w:val="center"/>
          </w:tcPr>
          <w:p w14:paraId="7027BFBD" w14:textId="77777777" w:rsidR="007D4924" w:rsidRDefault="007D4924" w:rsidP="007D4924"/>
        </w:tc>
        <w:tc>
          <w:tcPr>
            <w:tcW w:w="1161" w:type="dxa"/>
            <w:vAlign w:val="center"/>
          </w:tcPr>
          <w:p w14:paraId="3FF3A0F5" w14:textId="77777777" w:rsidR="007D4924" w:rsidRDefault="007D4924" w:rsidP="007D4924"/>
        </w:tc>
      </w:tr>
      <w:tr w:rsidR="007D4924" w14:paraId="743A1325" w14:textId="77777777" w:rsidTr="005B17CE">
        <w:trPr>
          <w:cantSplit/>
          <w:trHeight w:val="489"/>
        </w:trPr>
        <w:tc>
          <w:tcPr>
            <w:tcW w:w="3168" w:type="dxa"/>
          </w:tcPr>
          <w:p w14:paraId="454366DF" w14:textId="2334AF3C" w:rsidR="007D4924" w:rsidRDefault="007D4924" w:rsidP="007D4924">
            <w:r>
              <w:t>Gerri August/Julie Horwitz</w:t>
            </w:r>
          </w:p>
        </w:tc>
        <w:tc>
          <w:tcPr>
            <w:tcW w:w="3254" w:type="dxa"/>
          </w:tcPr>
          <w:p w14:paraId="45CE4A75" w14:textId="455BDCC4" w:rsidR="007D4924" w:rsidRDefault="007D4924" w:rsidP="007D4924">
            <w:r>
              <w:t>Deans, Feinstein School of Education and Human Development</w:t>
            </w:r>
          </w:p>
        </w:tc>
        <w:tc>
          <w:tcPr>
            <w:tcW w:w="3197" w:type="dxa"/>
            <w:vAlign w:val="center"/>
          </w:tcPr>
          <w:p w14:paraId="160B555B" w14:textId="77777777" w:rsidR="007D4924" w:rsidRDefault="007D4924" w:rsidP="007D4924"/>
        </w:tc>
        <w:tc>
          <w:tcPr>
            <w:tcW w:w="1161" w:type="dxa"/>
            <w:vAlign w:val="center"/>
          </w:tcPr>
          <w:p w14:paraId="4BD63849" w14:textId="77777777" w:rsidR="007D4924" w:rsidRDefault="007D4924" w:rsidP="007D4924"/>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3851" w14:textId="77777777" w:rsidR="00442264" w:rsidRDefault="00442264" w:rsidP="00FA78CA">
      <w:r>
        <w:separator/>
      </w:r>
    </w:p>
  </w:endnote>
  <w:endnote w:type="continuationSeparator" w:id="0">
    <w:p w14:paraId="078E1F5C" w14:textId="77777777" w:rsidR="00442264" w:rsidRDefault="00442264"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4C7735">
      <w:rPr>
        <w:b/>
        <w:bCs/>
        <w:noProof/>
        <w:sz w:val="20"/>
      </w:rPr>
      <w:t>6</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4C7735">
      <w:rPr>
        <w:b/>
        <w:bCs/>
        <w:noProof/>
        <w:sz w:val="20"/>
      </w:rPr>
      <w:t>6</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221E9" w14:textId="77777777" w:rsidR="00442264" w:rsidRDefault="00442264" w:rsidP="00FA78CA">
      <w:r>
        <w:separator/>
      </w:r>
    </w:p>
  </w:footnote>
  <w:footnote w:type="continuationSeparator" w:id="0">
    <w:p w14:paraId="211DBEDD" w14:textId="77777777" w:rsidR="00442264" w:rsidRDefault="00442264"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F21D" w14:textId="77777777" w:rsidR="004C7735"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4C7735">
      <w:rPr>
        <w:color w:val="4F6228"/>
      </w:rPr>
      <w:t>1819_6</w:t>
    </w:r>
    <w:r w:rsidR="004C7735">
      <w:rPr>
        <w:color w:val="4F6228"/>
      </w:rPr>
      <w:t>9</w:t>
    </w:r>
    <w:r w:rsidR="004C7735">
      <w:rPr>
        <w:color w:val="4F6228"/>
      </w:rPr>
      <w:t xml:space="preserve"> SPED 5</w:t>
    </w:r>
    <w:r w:rsidR="004C7735">
      <w:rPr>
        <w:color w:val="4F6228"/>
      </w:rPr>
      <w:t>24</w:t>
    </w:r>
    <w:r w:rsidR="004C7735">
      <w:rPr>
        <w:color w:val="4F6228"/>
      </w:rPr>
      <w:t xml:space="preserve"> </w:t>
    </w:r>
    <w:r w:rsidR="004C7735">
      <w:rPr>
        <w:color w:val="4F6228"/>
      </w:rPr>
      <w:t>creation</w:t>
    </w:r>
    <w:r w:rsidR="004C7735">
      <w:rPr>
        <w:color w:val="4F6228"/>
      </w:rPr>
      <w:tab/>
    </w:r>
    <w:r w:rsidR="004C7735">
      <w:rPr>
        <w:color w:val="4F6228"/>
      </w:rPr>
      <w:tab/>
    </w:r>
    <w:r w:rsidR="004C7735">
      <w:rPr>
        <w:color w:val="4F6228"/>
      </w:rPr>
      <w:tab/>
    </w:r>
    <w:r w:rsidR="004C7735">
      <w:rPr>
        <w:color w:val="4F6228"/>
      </w:rPr>
      <w:tab/>
    </w:r>
    <w:r w:rsidR="004C7735">
      <w:rPr>
        <w:color w:val="4F6228"/>
      </w:rPr>
      <w:tab/>
    </w:r>
    <w:r w:rsidR="004C7735">
      <w:rPr>
        <w:color w:val="4F6228"/>
      </w:rPr>
      <w:tab/>
    </w:r>
    <w:r w:rsidR="004C7735">
      <w:rPr>
        <w:color w:val="4F6228"/>
      </w:rPr>
      <w:tab/>
    </w:r>
  </w:p>
  <w:p w14:paraId="44CC6DED" w14:textId="49D5912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4C7735">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6E4A"/>
    <w:multiLevelType w:val="hybridMultilevel"/>
    <w:tmpl w:val="B6D6D8B6"/>
    <w:lvl w:ilvl="0" w:tplc="1C6CDB10">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147C1E"/>
    <w:multiLevelType w:val="hybridMultilevel"/>
    <w:tmpl w:val="2A9AD154"/>
    <w:lvl w:ilvl="0" w:tplc="A4AA8F26">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542CA"/>
    <w:multiLevelType w:val="hybridMultilevel"/>
    <w:tmpl w:val="55922950"/>
    <w:lvl w:ilvl="0" w:tplc="AEEC06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200F3"/>
    <w:multiLevelType w:val="hybridMultilevel"/>
    <w:tmpl w:val="B60EA3FC"/>
    <w:lvl w:ilvl="0" w:tplc="18B66D26">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5E6D41"/>
    <w:multiLevelType w:val="hybridMultilevel"/>
    <w:tmpl w:val="83E09ACE"/>
    <w:lvl w:ilvl="0" w:tplc="756046EE">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47543"/>
    <w:multiLevelType w:val="hybridMultilevel"/>
    <w:tmpl w:val="843EBF3E"/>
    <w:lvl w:ilvl="0" w:tplc="5456D8E6">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03D57"/>
    <w:multiLevelType w:val="hybridMultilevel"/>
    <w:tmpl w:val="407A1710"/>
    <w:lvl w:ilvl="0" w:tplc="0C28B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90069"/>
    <w:multiLevelType w:val="hybridMultilevel"/>
    <w:tmpl w:val="69BE226A"/>
    <w:lvl w:ilvl="0" w:tplc="844A9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C45CB"/>
    <w:multiLevelType w:val="hybridMultilevel"/>
    <w:tmpl w:val="58960464"/>
    <w:lvl w:ilvl="0" w:tplc="D492791A">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6F05B6"/>
    <w:multiLevelType w:val="multilevel"/>
    <w:tmpl w:val="6E8C4F6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15:restartNumberingAfterBreak="0">
    <w:nsid w:val="7BF70AB8"/>
    <w:multiLevelType w:val="hybridMultilevel"/>
    <w:tmpl w:val="4B3CAD42"/>
    <w:lvl w:ilvl="0" w:tplc="E11EF5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97813"/>
    <w:multiLevelType w:val="hybridMultilevel"/>
    <w:tmpl w:val="25A8F866"/>
    <w:lvl w:ilvl="0" w:tplc="F800B2C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
  </w:num>
  <w:num w:numId="5">
    <w:abstractNumId w:val="6"/>
  </w:num>
  <w:num w:numId="6">
    <w:abstractNumId w:val="18"/>
  </w:num>
  <w:num w:numId="7">
    <w:abstractNumId w:val="2"/>
  </w:num>
  <w:num w:numId="8">
    <w:abstractNumId w:val="9"/>
  </w:num>
  <w:num w:numId="9">
    <w:abstractNumId w:val="13"/>
  </w:num>
  <w:num w:numId="10">
    <w:abstractNumId w:val="5"/>
  </w:num>
  <w:num w:numId="11">
    <w:abstractNumId w:val="20"/>
  </w:num>
  <w:num w:numId="12">
    <w:abstractNumId w:val="19"/>
  </w:num>
  <w:num w:numId="13">
    <w:abstractNumId w:val="0"/>
  </w:num>
  <w:num w:numId="14">
    <w:abstractNumId w:val="8"/>
  </w:num>
  <w:num w:numId="15">
    <w:abstractNumId w:val="3"/>
  </w:num>
  <w:num w:numId="16">
    <w:abstractNumId w:val="10"/>
  </w:num>
  <w:num w:numId="17">
    <w:abstractNumId w:val="12"/>
  </w:num>
  <w:num w:numId="18">
    <w:abstractNumId w:val="22"/>
  </w:num>
  <w:num w:numId="19">
    <w:abstractNumId w:val="17"/>
  </w:num>
  <w:num w:numId="20">
    <w:abstractNumId w:val="15"/>
  </w:num>
  <w:num w:numId="21">
    <w:abstractNumId w:val="16"/>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0783"/>
    <w:rsid w:val="0007221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2036"/>
    <w:rsid w:val="00176636"/>
    <w:rsid w:val="00176C55"/>
    <w:rsid w:val="00181A4B"/>
    <w:rsid w:val="001A37FB"/>
    <w:rsid w:val="001A51ED"/>
    <w:rsid w:val="001B2E3A"/>
    <w:rsid w:val="001F351F"/>
    <w:rsid w:val="0020058E"/>
    <w:rsid w:val="00214ECD"/>
    <w:rsid w:val="002202BB"/>
    <w:rsid w:val="002258A4"/>
    <w:rsid w:val="00237355"/>
    <w:rsid w:val="00240259"/>
    <w:rsid w:val="0026461B"/>
    <w:rsid w:val="0027634D"/>
    <w:rsid w:val="00284473"/>
    <w:rsid w:val="002850DD"/>
    <w:rsid w:val="00290E18"/>
    <w:rsid w:val="00292D43"/>
    <w:rsid w:val="00293639"/>
    <w:rsid w:val="00296BA1"/>
    <w:rsid w:val="0029768B"/>
    <w:rsid w:val="002A3788"/>
    <w:rsid w:val="002A6233"/>
    <w:rsid w:val="002B1EEA"/>
    <w:rsid w:val="002B1FF7"/>
    <w:rsid w:val="002B24F6"/>
    <w:rsid w:val="002B6233"/>
    <w:rsid w:val="002B7880"/>
    <w:rsid w:val="002C3D63"/>
    <w:rsid w:val="002D02BC"/>
    <w:rsid w:val="002D1C64"/>
    <w:rsid w:val="002D4773"/>
    <w:rsid w:val="002D755B"/>
    <w:rsid w:val="002E6AEB"/>
    <w:rsid w:val="003045A0"/>
    <w:rsid w:val="00310D95"/>
    <w:rsid w:val="00334441"/>
    <w:rsid w:val="00345149"/>
    <w:rsid w:val="00372CAA"/>
    <w:rsid w:val="00376A8B"/>
    <w:rsid w:val="0039324A"/>
    <w:rsid w:val="003A45F6"/>
    <w:rsid w:val="003A59B8"/>
    <w:rsid w:val="003B04A1"/>
    <w:rsid w:val="003B2F7F"/>
    <w:rsid w:val="003B4A52"/>
    <w:rsid w:val="003B5A80"/>
    <w:rsid w:val="003C1A54"/>
    <w:rsid w:val="003C3E00"/>
    <w:rsid w:val="003C511E"/>
    <w:rsid w:val="003D7372"/>
    <w:rsid w:val="003F099C"/>
    <w:rsid w:val="003F4E82"/>
    <w:rsid w:val="00402602"/>
    <w:rsid w:val="00405320"/>
    <w:rsid w:val="004254A0"/>
    <w:rsid w:val="004313E6"/>
    <w:rsid w:val="004400CB"/>
    <w:rsid w:val="004403BD"/>
    <w:rsid w:val="00442264"/>
    <w:rsid w:val="00442EEA"/>
    <w:rsid w:val="004779B4"/>
    <w:rsid w:val="00482982"/>
    <w:rsid w:val="0048308F"/>
    <w:rsid w:val="004932BC"/>
    <w:rsid w:val="004A015F"/>
    <w:rsid w:val="004B118F"/>
    <w:rsid w:val="004B1512"/>
    <w:rsid w:val="004C7735"/>
    <w:rsid w:val="004E57C5"/>
    <w:rsid w:val="004F2D46"/>
    <w:rsid w:val="004F6658"/>
    <w:rsid w:val="005039B0"/>
    <w:rsid w:val="00510E78"/>
    <w:rsid w:val="005174B4"/>
    <w:rsid w:val="005473BC"/>
    <w:rsid w:val="005873E3"/>
    <w:rsid w:val="00587DC6"/>
    <w:rsid w:val="005912B5"/>
    <w:rsid w:val="005A171C"/>
    <w:rsid w:val="005B17CE"/>
    <w:rsid w:val="005B4384"/>
    <w:rsid w:val="005C23BD"/>
    <w:rsid w:val="005C37AA"/>
    <w:rsid w:val="005C3F83"/>
    <w:rsid w:val="005C7C5B"/>
    <w:rsid w:val="005D389E"/>
    <w:rsid w:val="005E752D"/>
    <w:rsid w:val="005F211F"/>
    <w:rsid w:val="005F2A05"/>
    <w:rsid w:val="0060382D"/>
    <w:rsid w:val="00630EED"/>
    <w:rsid w:val="0064309F"/>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67D49"/>
    <w:rsid w:val="00781686"/>
    <w:rsid w:val="00786121"/>
    <w:rsid w:val="00796AF7"/>
    <w:rsid w:val="007970C3"/>
    <w:rsid w:val="007A175F"/>
    <w:rsid w:val="007A4843"/>
    <w:rsid w:val="007A5702"/>
    <w:rsid w:val="007A72D5"/>
    <w:rsid w:val="007B10BE"/>
    <w:rsid w:val="007C2792"/>
    <w:rsid w:val="007D4924"/>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905E67"/>
    <w:rsid w:val="00920FB0"/>
    <w:rsid w:val="009262CD"/>
    <w:rsid w:val="00932B72"/>
    <w:rsid w:val="00936421"/>
    <w:rsid w:val="009367B9"/>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E5AB8"/>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740"/>
    <w:rsid w:val="00B82B64"/>
    <w:rsid w:val="00B862BF"/>
    <w:rsid w:val="00B87B39"/>
    <w:rsid w:val="00BB11B9"/>
    <w:rsid w:val="00BB165D"/>
    <w:rsid w:val="00BC42B6"/>
    <w:rsid w:val="00BC42EB"/>
    <w:rsid w:val="00BD40C6"/>
    <w:rsid w:val="00BE2D71"/>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D32FF"/>
    <w:rsid w:val="00D17134"/>
    <w:rsid w:val="00D233BB"/>
    <w:rsid w:val="00D50FE1"/>
    <w:rsid w:val="00D56C09"/>
    <w:rsid w:val="00D56C63"/>
    <w:rsid w:val="00D63FDF"/>
    <w:rsid w:val="00D64DF4"/>
    <w:rsid w:val="00D65A71"/>
    <w:rsid w:val="00D65F02"/>
    <w:rsid w:val="00D75FF8"/>
    <w:rsid w:val="00DA5F1E"/>
    <w:rsid w:val="00DA73A0"/>
    <w:rsid w:val="00DB0D94"/>
    <w:rsid w:val="00DB23D4"/>
    <w:rsid w:val="00DB63D4"/>
    <w:rsid w:val="00DD69AE"/>
    <w:rsid w:val="00DE2B7A"/>
    <w:rsid w:val="00DF01CB"/>
    <w:rsid w:val="00DF06F0"/>
    <w:rsid w:val="00DF4FCD"/>
    <w:rsid w:val="00DF535D"/>
    <w:rsid w:val="00DF7C07"/>
    <w:rsid w:val="00E03C44"/>
    <w:rsid w:val="00E36AF7"/>
    <w:rsid w:val="00E4755D"/>
    <w:rsid w:val="00E47897"/>
    <w:rsid w:val="00E521CF"/>
    <w:rsid w:val="00E641DE"/>
    <w:rsid w:val="00E93A54"/>
    <w:rsid w:val="00EB33FD"/>
    <w:rsid w:val="00EC63A4"/>
    <w:rsid w:val="00EC7B24"/>
    <w:rsid w:val="00ED10F6"/>
    <w:rsid w:val="00ED1712"/>
    <w:rsid w:val="00ED1BF0"/>
    <w:rsid w:val="00EF1B6C"/>
    <w:rsid w:val="00EF3B20"/>
    <w:rsid w:val="00F15B95"/>
    <w:rsid w:val="00F32980"/>
    <w:rsid w:val="00F56CE6"/>
    <w:rsid w:val="00F64260"/>
    <w:rsid w:val="00F83523"/>
    <w:rsid w:val="00F871BA"/>
    <w:rsid w:val="00FA6359"/>
    <w:rsid w:val="00FA6998"/>
    <w:rsid w:val="00FA72E0"/>
    <w:rsid w:val="00FA769F"/>
    <w:rsid w:val="00FA78CA"/>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B8"/>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950938908">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 w:id="201911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500/SPED-5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67Z3ZXSPZZWZ-954-164</_dlc_DocId>
    <_dlc_DocIdUrl xmlns="67887a43-7e4d-4c1c-91d7-15e417b1b8ab">
      <Url>https://w3.ric.edu/graduate_committee/_layouts/15/DocIdRedir.aspx?ID=67Z3ZXSPZZWZ-954-164</Url>
      <Description>67Z3ZXSPZZWZ-954-164</Description>
    </_dlc_DocIdUrl>
  </documentManagement>
</p:properties>
</file>

<file path=customXml/itemProps1.xml><?xml version="1.0" encoding="utf-8"?>
<ds:datastoreItem xmlns:ds="http://schemas.openxmlformats.org/officeDocument/2006/customXml" ds:itemID="{C4CE5510-79C2-46EA-A09D-986C93E5860A}"/>
</file>

<file path=customXml/itemProps2.xml><?xml version="1.0" encoding="utf-8"?>
<ds:datastoreItem xmlns:ds="http://schemas.openxmlformats.org/officeDocument/2006/customXml" ds:itemID="{7042C242-8C9F-4D3C-B8F8-03B8E8021936}"/>
</file>

<file path=customXml/itemProps3.xml><?xml version="1.0" encoding="utf-8"?>
<ds:datastoreItem xmlns:ds="http://schemas.openxmlformats.org/officeDocument/2006/customXml" ds:itemID="{34836B1E-5618-4521-8C47-56BA86EC9FCC}"/>
</file>

<file path=customXml/itemProps4.xml><?xml version="1.0" encoding="utf-8"?>
<ds:datastoreItem xmlns:ds="http://schemas.openxmlformats.org/officeDocument/2006/customXml" ds:itemID="{C5B1439C-509C-4861-9F38-741BB5A5CA33}"/>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2019-04-18T13:30:00Z</dcterms:created>
  <dcterms:modified xsi:type="dcterms:W3CDTF">2019-04-18T13:30:00Z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2b767ebc-a806-4c1f-807e-fc9d48277643</vt:lpwstr>
  </property>
</Properties>
</file>