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lang w:eastAsia="en-US"/>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30AC347" w:rsidR="00F64260" w:rsidRPr="001E2E54" w:rsidRDefault="001E2E54" w:rsidP="001E2E54">
            <w:bookmarkStart w:id="0" w:name="Proposal"/>
            <w:bookmarkEnd w:id="0"/>
            <w:r>
              <w:rPr>
                <w:rFonts w:ascii="Twentieth Century" w:hAnsi="Twentieth Century"/>
                <w:b/>
                <w:bCs/>
                <w:color w:val="000000"/>
              </w:rPr>
              <w:t>YDEV 502 YOUTH DEVELOPMENT MA RETREAT</w:t>
            </w:r>
          </w:p>
        </w:tc>
        <w:tc>
          <w:tcPr>
            <w:tcW w:w="131" w:type="pct"/>
            <w:vMerge w:val="restart"/>
          </w:tcPr>
          <w:p w14:paraId="22C82EF7" w14:textId="77777777" w:rsidR="008628B1" w:rsidRPr="008E0FCD" w:rsidRDefault="008628B1" w:rsidP="00345149">
            <w:pPr>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64DF19F" w:rsidR="00F64260" w:rsidRPr="005F2A05" w:rsidRDefault="00F64260" w:rsidP="001E2E54">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2564DC2" w:rsidR="00F64260" w:rsidRPr="00B605CE" w:rsidRDefault="001E2E54" w:rsidP="00B862BF">
            <w:pPr>
              <w:rPr>
                <w:b/>
              </w:rPr>
            </w:pPr>
            <w:bookmarkStart w:id="4" w:name="Originator"/>
            <w:bookmarkEnd w:id="4"/>
            <w:r>
              <w:rPr>
                <w:b/>
              </w:rPr>
              <w:t xml:space="preserve">Victoria </w:t>
            </w:r>
            <w:proofErr w:type="spellStart"/>
            <w:r>
              <w:rPr>
                <w:b/>
              </w:rPr>
              <w:t>Restler</w:t>
            </w:r>
            <w:proofErr w:type="spellEnd"/>
          </w:p>
        </w:tc>
        <w:tc>
          <w:tcPr>
            <w:tcW w:w="1210" w:type="pct"/>
            <w:gridSpan w:val="2"/>
          </w:tcPr>
          <w:p w14:paraId="561C556F" w14:textId="77777777" w:rsidR="00F64260" w:rsidRPr="00946B20" w:rsidRDefault="001B11D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23F1F7D3" w:rsidR="00F64260" w:rsidRPr="00B605CE" w:rsidRDefault="001E2E54" w:rsidP="00B862BF">
            <w:pPr>
              <w:rPr>
                <w:b/>
              </w:rPr>
            </w:pPr>
            <w:bookmarkStart w:id="5" w:name="home_dept"/>
            <w:bookmarkEnd w:id="5"/>
            <w:r>
              <w:rPr>
                <w:b/>
              </w:rPr>
              <w:t>Youth Development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8BFECDD" w14:textId="7A39B348" w:rsidR="00F64260" w:rsidRPr="001E2E54" w:rsidRDefault="001E2E54" w:rsidP="001E2E54">
            <w:pPr>
              <w:pStyle w:val="NormalWeb"/>
              <w:spacing w:before="0" w:beforeAutospacing="0" w:after="0" w:afterAutospacing="0"/>
            </w:pPr>
            <w:bookmarkStart w:id="6" w:name="Rationale"/>
            <w:bookmarkEnd w:id="6"/>
            <w:r>
              <w:rPr>
                <w:rFonts w:ascii="Twentieth Century" w:hAnsi="Twentieth Century"/>
                <w:color w:val="000000"/>
              </w:rPr>
              <w:t xml:space="preserve">This one-credit course is taken by Youth Development MA students in their first semester. A face-to-face intensive retreat coupled with pre- and post- online assignments and “meetings,” the course is designed to build community among the cohort while modeling tools and strategies for creating race-conscious, “brave” (as opposed to “safe”) community spaces in youth development. Building on anti-racist curriculum and pedagogy developed by the People’s Institute for Survival and Beyond, students will engage in deep self and community reflection around issues of racism, white privilege and supremacy in their personal lives and in the field of youth development.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29FD269" w:rsidR="000357A5" w:rsidRPr="00B605CE" w:rsidRDefault="001E2E54" w:rsidP="00B862BF">
            <w:pPr>
              <w:rPr>
                <w:b/>
              </w:rPr>
            </w:pPr>
            <w:r>
              <w:rPr>
                <w:b/>
              </w:rPr>
              <w:t>This course focuses on community-building in youth development and race-conscious, anti-bias practice.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857C65C" w:rsidR="000357A5" w:rsidRPr="00B605CE" w:rsidRDefault="001E2E54"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4F3028DE" w:rsidR="00B07266" w:rsidRPr="00C25F9D" w:rsidRDefault="001E2E54" w:rsidP="00C25F9D">
            <w:pPr>
              <w:rPr>
                <w:b/>
              </w:rPr>
            </w:pPr>
            <w:bookmarkStart w:id="8" w:name="faculty"/>
            <w:bookmarkEnd w:id="8"/>
            <w:r>
              <w:rPr>
                <w:b/>
              </w:rPr>
              <w:t xml:space="preserve">Course will be taught by </w:t>
            </w:r>
            <w:r w:rsidR="007779A7">
              <w:rPr>
                <w:b/>
              </w:rPr>
              <w:t xml:space="preserve">Rhode Island College </w:t>
            </w:r>
            <w:r>
              <w:rPr>
                <w:b/>
              </w:rPr>
              <w:t>faculty. We may invite guest speakers/ facilitators.</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1B11D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BA2563F" w:rsidR="00B07266" w:rsidRPr="00C25F9D" w:rsidRDefault="001E2E54" w:rsidP="00C25F9D">
            <w:pPr>
              <w:rPr>
                <w:b/>
              </w:rPr>
            </w:pPr>
            <w:bookmarkStart w:id="9" w:name="library"/>
            <w:bookmarkEnd w:id="9"/>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1B11D1"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DD3B71C" w:rsidR="00B07266" w:rsidRPr="00C25F9D" w:rsidRDefault="001E2E54" w:rsidP="00C25F9D">
            <w:pPr>
              <w:rPr>
                <w:b/>
              </w:rPr>
            </w:pPr>
            <w:bookmarkStart w:id="10" w:name="technology"/>
            <w:bookmarkEnd w:id="10"/>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1B11D1"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2F8C6A60" w:rsidR="001E2E54" w:rsidRPr="00C25F9D" w:rsidRDefault="001E2E54" w:rsidP="001E2E54">
            <w:pPr>
              <w:rPr>
                <w:b/>
              </w:rPr>
            </w:pPr>
            <w:bookmarkStart w:id="11" w:name="facilities"/>
            <w:bookmarkEnd w:id="11"/>
            <w:r>
              <w:rPr>
                <w:b/>
              </w:rPr>
              <w:t>The course will require a classroom on one Saturday each Fall semester.</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38D9B01B" w:rsidR="00B07266" w:rsidRPr="00C25F9D" w:rsidRDefault="001E2E54" w:rsidP="00C25F9D">
            <w:pPr>
              <w:rPr>
                <w:b/>
              </w:rPr>
            </w:pPr>
            <w:r>
              <w:rPr>
                <w:b/>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45BD60" w:rsidR="000357A5" w:rsidRPr="00B649C4" w:rsidRDefault="001E2E54" w:rsidP="00C25F9D">
            <w:pPr>
              <w:rPr>
                <w:b/>
              </w:rPr>
            </w:pPr>
            <w:bookmarkStart w:id="12" w:name="prog_impact"/>
            <w:bookmarkEnd w:id="12"/>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1E2E54" w:rsidRPr="006E3AF2" w14:paraId="3273EA00" w14:textId="77777777" w:rsidTr="001E2E54">
        <w:trPr>
          <w:tblHeader/>
        </w:trPr>
        <w:tc>
          <w:tcPr>
            <w:tcW w:w="3168" w:type="dxa"/>
            <w:shd w:val="clear" w:color="auto" w:fill="FABF8F"/>
            <w:noWrap/>
            <w:vAlign w:val="center"/>
          </w:tcPr>
          <w:p w14:paraId="774A5834" w14:textId="77777777" w:rsidR="001E2E54" w:rsidRPr="00A83A6C" w:rsidRDefault="001E2E54" w:rsidP="008847FE">
            <w:pPr>
              <w:pStyle w:val="Heading5"/>
              <w:keepNext/>
              <w:spacing w:before="0" w:after="0"/>
            </w:pPr>
          </w:p>
        </w:tc>
        <w:tc>
          <w:tcPr>
            <w:tcW w:w="7830" w:type="dxa"/>
            <w:noWrap/>
          </w:tcPr>
          <w:p w14:paraId="3948A1CC" w14:textId="77777777" w:rsidR="001E2E54" w:rsidRPr="00A83A6C" w:rsidRDefault="001E2E54" w:rsidP="008847FE">
            <w:pPr>
              <w:pStyle w:val="Heading5"/>
              <w:keepNext/>
              <w:spacing w:before="0" w:after="0"/>
              <w:jc w:val="center"/>
            </w:pPr>
            <w:r w:rsidRPr="00A83A6C">
              <w:t>New</w:t>
            </w:r>
          </w:p>
        </w:tc>
      </w:tr>
      <w:tr w:rsidR="001E2E54" w:rsidRPr="006E3AF2" w14:paraId="305B0940" w14:textId="77777777" w:rsidTr="001E2E54">
        <w:tc>
          <w:tcPr>
            <w:tcW w:w="3168" w:type="dxa"/>
            <w:noWrap/>
            <w:vAlign w:val="center"/>
          </w:tcPr>
          <w:p w14:paraId="23E4C224" w14:textId="77777777" w:rsidR="001E2E54" w:rsidRPr="006E3AF2" w:rsidRDefault="001E2E54"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72E4032F" w14:textId="660008F0" w:rsidR="001E2E54" w:rsidRPr="009F029C" w:rsidRDefault="001E2E54" w:rsidP="001429AA">
            <w:pPr>
              <w:rPr>
                <w:b/>
              </w:rPr>
            </w:pPr>
            <w:bookmarkStart w:id="13" w:name="cours_title"/>
            <w:bookmarkEnd w:id="13"/>
            <w:r>
              <w:rPr>
                <w:b/>
              </w:rPr>
              <w:t>YDEV 502</w:t>
            </w:r>
          </w:p>
        </w:tc>
      </w:tr>
      <w:tr w:rsidR="001E2E54" w:rsidRPr="006E3AF2" w14:paraId="37592E9F" w14:textId="77777777" w:rsidTr="001E2E54">
        <w:tc>
          <w:tcPr>
            <w:tcW w:w="3168" w:type="dxa"/>
            <w:noWrap/>
            <w:vAlign w:val="center"/>
          </w:tcPr>
          <w:p w14:paraId="2F7EBABC" w14:textId="77777777" w:rsidR="001E2E54" w:rsidRPr="006E3AF2" w:rsidRDefault="001E2E54" w:rsidP="00013152">
            <w:r>
              <w:t>B.2. C</w:t>
            </w:r>
            <w:r w:rsidRPr="006E3AF2">
              <w:t>ross listing number</w:t>
            </w:r>
            <w:r>
              <w:t xml:space="preserve"> if any</w:t>
            </w:r>
          </w:p>
        </w:tc>
        <w:tc>
          <w:tcPr>
            <w:tcW w:w="7830" w:type="dxa"/>
            <w:noWrap/>
          </w:tcPr>
          <w:p w14:paraId="2FF72528" w14:textId="77777777" w:rsidR="001E2E54" w:rsidRPr="009F029C" w:rsidRDefault="001E2E54" w:rsidP="001429AA">
            <w:pPr>
              <w:rPr>
                <w:b/>
              </w:rPr>
            </w:pPr>
          </w:p>
        </w:tc>
      </w:tr>
      <w:tr w:rsidR="001E2E54" w:rsidRPr="006E3AF2" w14:paraId="41D21786" w14:textId="77777777" w:rsidTr="001E2E54">
        <w:tc>
          <w:tcPr>
            <w:tcW w:w="3168" w:type="dxa"/>
            <w:noWrap/>
            <w:vAlign w:val="center"/>
          </w:tcPr>
          <w:p w14:paraId="735E615A" w14:textId="0A3F5919" w:rsidR="001E2E54" w:rsidRPr="006E3AF2" w:rsidRDefault="001E2E54" w:rsidP="00013152">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001F0A12" w14:textId="4FA7F05D" w:rsidR="001E2E54" w:rsidRPr="001E2E54" w:rsidRDefault="001E2E54" w:rsidP="001E2E54">
            <w:bookmarkStart w:id="14" w:name="title"/>
            <w:bookmarkEnd w:id="14"/>
            <w:r>
              <w:rPr>
                <w:rFonts w:ascii="Twentieth Century" w:hAnsi="Twentieth Century"/>
                <w:b/>
                <w:bCs/>
                <w:color w:val="000000"/>
              </w:rPr>
              <w:t>YOUTH DEVELOPMENT MA RETREAT</w:t>
            </w:r>
          </w:p>
        </w:tc>
      </w:tr>
      <w:tr w:rsidR="001E2E54" w:rsidRPr="006E3AF2" w14:paraId="5164065A" w14:textId="77777777" w:rsidTr="001E2E54">
        <w:tc>
          <w:tcPr>
            <w:tcW w:w="3168" w:type="dxa"/>
            <w:noWrap/>
            <w:vAlign w:val="center"/>
          </w:tcPr>
          <w:p w14:paraId="33DD585B" w14:textId="700A591D" w:rsidR="001E2E54" w:rsidRPr="006E3AF2" w:rsidRDefault="001E2E54" w:rsidP="00013152">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2DB344D2" w14:textId="3920AC91" w:rsidR="001E2E54" w:rsidRPr="007779A7" w:rsidRDefault="007779A7" w:rsidP="001E2E54">
            <w:pPr>
              <w:rPr>
                <w:bCs/>
              </w:rPr>
            </w:pPr>
            <w:bookmarkStart w:id="15" w:name="description"/>
            <w:bookmarkEnd w:id="15"/>
            <w:r w:rsidRPr="007779A7">
              <w:rPr>
                <w:bCs/>
              </w:rPr>
              <w:t>Students will develop skills and frameworks for community building and anti-racist youth development practice.</w:t>
            </w:r>
          </w:p>
        </w:tc>
      </w:tr>
      <w:tr w:rsidR="001E2E54" w:rsidRPr="006E3AF2" w14:paraId="51F71CBF" w14:textId="77777777" w:rsidTr="001E2E54">
        <w:tc>
          <w:tcPr>
            <w:tcW w:w="3168" w:type="dxa"/>
            <w:noWrap/>
            <w:vAlign w:val="center"/>
          </w:tcPr>
          <w:p w14:paraId="05549147" w14:textId="77777777" w:rsidR="001E2E54" w:rsidRPr="006E3AF2" w:rsidRDefault="001E2E54" w:rsidP="00013152">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350312DB" w14:textId="059C99AE" w:rsidR="001E2E54" w:rsidRPr="009F029C" w:rsidRDefault="001E2E54" w:rsidP="001429AA">
            <w:pPr>
              <w:rPr>
                <w:b/>
              </w:rPr>
            </w:pPr>
            <w:bookmarkStart w:id="16" w:name="prereqs"/>
            <w:bookmarkEnd w:id="16"/>
            <w:r>
              <w:rPr>
                <w:b/>
              </w:rPr>
              <w:t xml:space="preserve">Enrollment in YDEV </w:t>
            </w:r>
            <w:r w:rsidR="00377A34">
              <w:rPr>
                <w:b/>
              </w:rPr>
              <w:t>501</w:t>
            </w:r>
          </w:p>
        </w:tc>
      </w:tr>
      <w:tr w:rsidR="001E2E54" w:rsidRPr="006E3AF2" w14:paraId="18ED5FDA" w14:textId="77777777" w:rsidTr="001E2E54">
        <w:tc>
          <w:tcPr>
            <w:tcW w:w="3168" w:type="dxa"/>
            <w:noWrap/>
            <w:vAlign w:val="center"/>
          </w:tcPr>
          <w:p w14:paraId="1016A647" w14:textId="66DC7F44" w:rsidR="001E2E54" w:rsidRPr="006E3AF2" w:rsidRDefault="001E2E54" w:rsidP="00013152">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70575036" w14:textId="5F663153" w:rsidR="001E2E54" w:rsidRPr="009F029C" w:rsidRDefault="001E2E54" w:rsidP="001E2E54">
            <w:pPr>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p>
          <w:p w14:paraId="60AD2C77" w14:textId="7464D3EB" w:rsidR="001E2E54" w:rsidRPr="009F029C" w:rsidRDefault="001E2E54" w:rsidP="00C25F9D">
            <w:pPr>
              <w:rPr>
                <w:b/>
                <w:sz w:val="20"/>
              </w:rPr>
            </w:pPr>
            <w:r w:rsidRPr="009F029C">
              <w:rPr>
                <w:b/>
                <w:sz w:val="20"/>
              </w:rPr>
              <w:t>Annually</w:t>
            </w:r>
          </w:p>
          <w:p w14:paraId="6E8FAD04" w14:textId="768200C7" w:rsidR="001E2E54" w:rsidRPr="009F029C" w:rsidRDefault="001E2E54" w:rsidP="00C25F9D">
            <w:pPr>
              <w:rPr>
                <w:b/>
                <w:sz w:val="20"/>
              </w:rPr>
            </w:pPr>
          </w:p>
        </w:tc>
      </w:tr>
      <w:tr w:rsidR="001E2E54" w:rsidRPr="006E3AF2" w14:paraId="6C9D583C" w14:textId="77777777" w:rsidTr="001E2E54">
        <w:tc>
          <w:tcPr>
            <w:tcW w:w="3168" w:type="dxa"/>
            <w:noWrap/>
            <w:vAlign w:val="center"/>
          </w:tcPr>
          <w:p w14:paraId="6582E929" w14:textId="77777777" w:rsidR="001E2E54" w:rsidRPr="006E3AF2" w:rsidRDefault="001E2E54" w:rsidP="00013152">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790915FC" w14:textId="5A16F753" w:rsidR="001E2E54" w:rsidRPr="009F029C" w:rsidRDefault="000139EF" w:rsidP="001429AA">
            <w:pPr>
              <w:rPr>
                <w:b/>
              </w:rPr>
            </w:pPr>
            <w:bookmarkStart w:id="17" w:name="contacthours"/>
            <w:bookmarkEnd w:id="17"/>
            <w:r>
              <w:rPr>
                <w:b/>
              </w:rPr>
              <w:t>8-hour face-to-face retreat + 6 hours online</w:t>
            </w:r>
          </w:p>
        </w:tc>
      </w:tr>
      <w:tr w:rsidR="001E2E54" w:rsidRPr="006E3AF2" w14:paraId="33B99A97" w14:textId="77777777" w:rsidTr="001E2E54">
        <w:tc>
          <w:tcPr>
            <w:tcW w:w="3168" w:type="dxa"/>
            <w:noWrap/>
            <w:vAlign w:val="center"/>
          </w:tcPr>
          <w:p w14:paraId="6B4EE104" w14:textId="77777777" w:rsidR="001E2E54" w:rsidRPr="006E3AF2" w:rsidRDefault="001E2E54" w:rsidP="00013152">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4F70C16F" w14:textId="1FA33109" w:rsidR="001E2E54" w:rsidRPr="009F029C" w:rsidRDefault="00FB08F3" w:rsidP="001429AA">
            <w:pPr>
              <w:rPr>
                <w:b/>
              </w:rPr>
            </w:pPr>
            <w:bookmarkStart w:id="18" w:name="credits"/>
            <w:bookmarkEnd w:id="18"/>
            <w:r>
              <w:rPr>
                <w:b/>
              </w:rPr>
              <w:t>1</w:t>
            </w:r>
          </w:p>
        </w:tc>
      </w:tr>
      <w:tr w:rsidR="001E2E54" w:rsidRPr="006E3AF2" w14:paraId="4CBDFD46" w14:textId="77777777" w:rsidTr="001E2E54">
        <w:trPr>
          <w:gridAfter w:val="1"/>
          <w:wAfter w:w="7830" w:type="dxa"/>
        </w:trPr>
        <w:tc>
          <w:tcPr>
            <w:tcW w:w="3168" w:type="dxa"/>
            <w:noWrap/>
            <w:vAlign w:val="center"/>
          </w:tcPr>
          <w:p w14:paraId="726C4F78" w14:textId="75E699EC" w:rsidR="001E2E54" w:rsidRPr="006E3AF2" w:rsidRDefault="001E2E54" w:rsidP="00013152">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19" w:name="differences"/>
        <w:bookmarkEnd w:id="19"/>
      </w:tr>
      <w:tr w:rsidR="001E2E54" w:rsidRPr="006E3AF2" w14:paraId="3F978964" w14:textId="77777777" w:rsidTr="001E2E54">
        <w:tc>
          <w:tcPr>
            <w:tcW w:w="3168" w:type="dxa"/>
            <w:noWrap/>
            <w:vAlign w:val="center"/>
          </w:tcPr>
          <w:p w14:paraId="2FAA3C00" w14:textId="77777777" w:rsidR="001E2E54" w:rsidRPr="006E3AF2" w:rsidRDefault="001E2E54" w:rsidP="00013152">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32C16048" w14:textId="529CDB05" w:rsidR="001E2E54" w:rsidRPr="009F029C" w:rsidRDefault="001E2E54" w:rsidP="000357A5">
            <w:pPr>
              <w:rPr>
                <w:b/>
                <w:sz w:val="20"/>
              </w:rPr>
            </w:pPr>
            <w:r>
              <w:rPr>
                <w:b/>
                <w:sz w:val="20"/>
              </w:rPr>
              <w:t xml:space="preserve">Letter grade  </w:t>
            </w:r>
          </w:p>
        </w:tc>
      </w:tr>
      <w:tr w:rsidR="001E2E54" w:rsidRPr="006E3AF2" w14:paraId="45BF3D73" w14:textId="77777777" w:rsidTr="001E2E54">
        <w:tc>
          <w:tcPr>
            <w:tcW w:w="3168" w:type="dxa"/>
            <w:noWrap/>
            <w:vAlign w:val="center"/>
          </w:tcPr>
          <w:p w14:paraId="337E9600" w14:textId="77777777" w:rsidR="001E2E54" w:rsidRPr="006E3AF2" w:rsidRDefault="001E2E54" w:rsidP="00013152">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1FE5962F" w14:textId="628B6048" w:rsidR="001E2E54" w:rsidRPr="009F029C" w:rsidRDefault="001E2E54" w:rsidP="00A76B76">
            <w:pPr>
              <w:rPr>
                <w:b/>
                <w:sz w:val="20"/>
              </w:rPr>
            </w:pPr>
            <w:bookmarkStart w:id="20" w:name="instr_methods"/>
            <w:bookmarkEnd w:id="20"/>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Pr>
                <w:b/>
                <w:sz w:val="20"/>
              </w:rPr>
              <w:t xml:space="preserve">  </w:t>
            </w:r>
            <w:r w:rsidR="007779A7">
              <w:rPr>
                <w:b/>
                <w:sz w:val="20"/>
              </w:rPr>
              <w:t>4</w:t>
            </w:r>
            <w:r w:rsidR="00FB08F3">
              <w:rPr>
                <w:b/>
                <w:sz w:val="20"/>
              </w:rPr>
              <w:t>0</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1E2E54" w:rsidRPr="006E3AF2" w14:paraId="627B913D" w14:textId="77777777" w:rsidTr="001E2E54">
        <w:tc>
          <w:tcPr>
            <w:tcW w:w="3168" w:type="dxa"/>
            <w:noWrap/>
            <w:vAlign w:val="center"/>
          </w:tcPr>
          <w:p w14:paraId="54A53D57" w14:textId="77777777" w:rsidR="001E2E54" w:rsidRPr="006E3AF2" w:rsidRDefault="001E2E54" w:rsidP="00013152">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460254CA" w14:textId="112D8B7C" w:rsidR="001E2E54" w:rsidRPr="009F029C" w:rsidRDefault="001E2E54" w:rsidP="00B2320C">
            <w:pPr>
              <w:rPr>
                <w:b/>
                <w:sz w:val="20"/>
              </w:rPr>
            </w:pPr>
            <w:bookmarkStart w:id="21" w:name="required"/>
            <w:bookmarkEnd w:id="21"/>
            <w:r w:rsidRPr="009F029C">
              <w:rPr>
                <w:b/>
                <w:sz w:val="20"/>
              </w:rPr>
              <w:t xml:space="preserve">Required for </w:t>
            </w:r>
            <w:r>
              <w:rPr>
                <w:b/>
                <w:sz w:val="20"/>
              </w:rPr>
              <w:t>program</w:t>
            </w:r>
            <w:r w:rsidRPr="009F029C">
              <w:rPr>
                <w:b/>
                <w:sz w:val="20"/>
              </w:rPr>
              <w:t xml:space="preserve">  </w:t>
            </w:r>
          </w:p>
        </w:tc>
      </w:tr>
      <w:tr w:rsidR="001E2E54" w:rsidRPr="006E3AF2" w14:paraId="5D768306" w14:textId="77777777" w:rsidTr="001E2E54">
        <w:tc>
          <w:tcPr>
            <w:tcW w:w="3168" w:type="dxa"/>
            <w:noWrap/>
            <w:vAlign w:val="center"/>
          </w:tcPr>
          <w:p w14:paraId="387754FB" w14:textId="7EC1B218" w:rsidR="001E2E54" w:rsidRPr="006E3AF2" w:rsidRDefault="001E2E54" w:rsidP="00BB11B9">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5DC57830" w14:textId="3B7B538E" w:rsidR="001E2E54" w:rsidRPr="009F029C" w:rsidRDefault="001E2E54" w:rsidP="00FB08F3">
            <w:pPr>
              <w:rPr>
                <w:b/>
                <w:sz w:val="20"/>
              </w:rPr>
            </w:pPr>
            <w:bookmarkStart w:id="22" w:name="performance"/>
            <w:bookmarkEnd w:id="22"/>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00FB08F3" w:rsidRPr="009F029C">
              <w:rPr>
                <w:rFonts w:ascii="MS Mincho" w:eastAsia="MS Mincho" w:hAnsi="MS Mincho" w:cs="MS Mincho"/>
                <w:b/>
                <w:sz w:val="20"/>
              </w:rPr>
              <w:t>|</w:t>
            </w:r>
            <w:r w:rsidRPr="009F029C">
              <w:rPr>
                <w:b/>
                <w:sz w:val="20"/>
              </w:rPr>
              <w:t xml:space="preserve"> Projects </w:t>
            </w:r>
            <w:r w:rsidRPr="009F029C">
              <w:rPr>
                <w:rFonts w:ascii="MS Mincho" w:eastAsia="MS Mincho" w:hAnsi="MS Mincho" w:cs="MS Mincho"/>
                <w:b/>
                <w:sz w:val="20"/>
              </w:rPr>
              <w:t>|</w:t>
            </w:r>
            <w:r w:rsidRPr="009F029C">
              <w:rPr>
                <w:b/>
                <w:sz w:val="20"/>
              </w:rPr>
              <w:t xml:space="preserve"> </w:t>
            </w:r>
          </w:p>
          <w:p w14:paraId="7BA0A8BE" w14:textId="5AF35E27" w:rsidR="001E2E54" w:rsidRPr="009F029C" w:rsidRDefault="001E2E54" w:rsidP="00FA769F">
            <w:pPr>
              <w:rPr>
                <w:b/>
                <w:sz w:val="20"/>
              </w:rPr>
            </w:pPr>
          </w:p>
        </w:tc>
      </w:tr>
      <w:tr w:rsidR="001E2E54" w:rsidRPr="006E3AF2" w14:paraId="72B2A61B" w14:textId="77777777" w:rsidTr="001E2E54">
        <w:tc>
          <w:tcPr>
            <w:tcW w:w="3168" w:type="dxa"/>
            <w:noWrap/>
            <w:vAlign w:val="center"/>
          </w:tcPr>
          <w:p w14:paraId="268D5CB7" w14:textId="73707DDB" w:rsidR="001E2E54" w:rsidRPr="006E3AF2" w:rsidRDefault="001E2E54" w:rsidP="00A8451E">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36AF007E" w14:textId="30C9FA35" w:rsidR="001E2E54" w:rsidRPr="009F029C" w:rsidRDefault="00FB08F3" w:rsidP="001429AA">
            <w:pPr>
              <w:rPr>
                <w:b/>
              </w:rPr>
            </w:pPr>
            <w:bookmarkStart w:id="23" w:name="competing"/>
            <w:bookmarkEnd w:id="23"/>
            <w:r>
              <w:rPr>
                <w:b/>
              </w:rPr>
              <w:t>N/A</w:t>
            </w:r>
          </w:p>
        </w:tc>
      </w:tr>
      <w:tr w:rsidR="001E2E54" w:rsidRPr="006E3AF2" w14:paraId="02198359" w14:textId="77777777" w:rsidTr="001E2E54">
        <w:trPr>
          <w:gridAfter w:val="1"/>
          <w:wAfter w:w="7830" w:type="dxa"/>
        </w:trPr>
        <w:tc>
          <w:tcPr>
            <w:tcW w:w="3168" w:type="dxa"/>
            <w:noWrap/>
            <w:vAlign w:val="center"/>
          </w:tcPr>
          <w:p w14:paraId="4A9B4CD3" w14:textId="2956B19A" w:rsidR="001E2E54" w:rsidRPr="006E3AF2" w:rsidRDefault="001E2E54" w:rsidP="00013152">
            <w:r>
              <w:t xml:space="preserve">B. 15. </w:t>
            </w:r>
            <w:r w:rsidRPr="00EC63A4">
              <w:t>Other changes, if any</w:t>
            </w:r>
          </w:p>
        </w:tc>
      </w:tr>
    </w:tbl>
    <w:p w14:paraId="27D09BDD" w14:textId="77777777" w:rsidR="00F64260" w:rsidRDefault="00F64260"/>
    <w:p w14:paraId="17C69138" w14:textId="3BBA0B72" w:rsidR="00A90A26" w:rsidRDefault="00A90A26"/>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3"/>
        <w:gridCol w:w="1703"/>
        <w:gridCol w:w="4664"/>
      </w:tblGrid>
      <w:tr w:rsidR="00F64260" w:rsidRPr="00402602" w14:paraId="04B456C7" w14:textId="77777777">
        <w:trPr>
          <w:cantSplit/>
          <w:tblHeader/>
        </w:trPr>
        <w:tc>
          <w:tcPr>
            <w:tcW w:w="4518" w:type="dxa"/>
          </w:tcPr>
          <w:p w14:paraId="08F83F6A" w14:textId="4BBDA84C" w:rsidR="00F64260" w:rsidRPr="00402602" w:rsidRDefault="00896897" w:rsidP="00BC42EB">
            <w:pPr>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1B11D1" w:rsidP="00BC42EB">
            <w:pPr>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1B11D1" w:rsidP="00BC42EB">
            <w:pPr>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6AB3E06B" w14:textId="77777777" w:rsidR="00FB08F3" w:rsidRDefault="00FB08F3" w:rsidP="00FB08F3">
            <w:bookmarkStart w:id="24" w:name="outcomes"/>
            <w:bookmarkEnd w:id="24"/>
            <w:r>
              <w:rPr>
                <w:rFonts w:ascii="Twentieth Century" w:hAnsi="Twentieth Century"/>
                <w:color w:val="000000"/>
              </w:rPr>
              <w:t>Learn norms and routines of YDEV @ RIC, and develop new ones</w:t>
            </w:r>
          </w:p>
          <w:p w14:paraId="1571C712" w14:textId="77777777" w:rsidR="00F64260" w:rsidRDefault="00F64260"/>
        </w:tc>
        <w:tc>
          <w:tcPr>
            <w:tcW w:w="1710" w:type="dxa"/>
          </w:tcPr>
          <w:p w14:paraId="48EEBF8B" w14:textId="77777777" w:rsidR="00F64260" w:rsidRDefault="00F64260">
            <w:bookmarkStart w:id="25" w:name="standards"/>
            <w:bookmarkEnd w:id="25"/>
          </w:p>
        </w:tc>
        <w:tc>
          <w:tcPr>
            <w:tcW w:w="4788" w:type="dxa"/>
          </w:tcPr>
          <w:p w14:paraId="08F4A66B" w14:textId="77777777" w:rsidR="00F64260" w:rsidRDefault="00FB08F3">
            <w:bookmarkStart w:id="26" w:name="measured"/>
            <w:bookmarkEnd w:id="26"/>
            <w:r>
              <w:t>Participation</w:t>
            </w:r>
          </w:p>
          <w:p w14:paraId="37116F1E" w14:textId="77777777" w:rsidR="00FB08F3" w:rsidRDefault="00FB08F3">
            <w:r>
              <w:t>Group Discussion</w:t>
            </w:r>
          </w:p>
          <w:p w14:paraId="0A370311" w14:textId="6EA254EB" w:rsidR="00FB08F3" w:rsidRDefault="00FB08F3">
            <w:r>
              <w:t>Reflection</w:t>
            </w:r>
          </w:p>
        </w:tc>
      </w:tr>
      <w:tr w:rsidR="00F64260" w14:paraId="73043584" w14:textId="77777777">
        <w:trPr>
          <w:cantSplit/>
        </w:trPr>
        <w:tc>
          <w:tcPr>
            <w:tcW w:w="4518" w:type="dxa"/>
          </w:tcPr>
          <w:p w14:paraId="10A34B2A" w14:textId="127DB5B6" w:rsidR="00F64260" w:rsidRDefault="00FB08F3" w:rsidP="00FB08F3">
            <w:r>
              <w:rPr>
                <w:rFonts w:ascii="Twentieth Century" w:hAnsi="Twentieth Century"/>
                <w:color w:val="000000"/>
              </w:rPr>
              <w:t>Get to know YDEV MA community (group and individual skills, resources, funds of knowledge)</w:t>
            </w:r>
          </w:p>
        </w:tc>
        <w:tc>
          <w:tcPr>
            <w:tcW w:w="1710" w:type="dxa"/>
          </w:tcPr>
          <w:p w14:paraId="638748AC" w14:textId="77777777" w:rsidR="00F64260" w:rsidRDefault="00F64260"/>
        </w:tc>
        <w:tc>
          <w:tcPr>
            <w:tcW w:w="4788" w:type="dxa"/>
          </w:tcPr>
          <w:p w14:paraId="24E29D99" w14:textId="77777777" w:rsidR="00FB08F3" w:rsidRDefault="00FB08F3" w:rsidP="00FB08F3">
            <w:r>
              <w:t>Participation</w:t>
            </w:r>
          </w:p>
          <w:p w14:paraId="24C4AFE7" w14:textId="77777777" w:rsidR="00FB08F3" w:rsidRDefault="00FB08F3" w:rsidP="00FB08F3">
            <w:r>
              <w:t>Group Discussion</w:t>
            </w:r>
          </w:p>
          <w:p w14:paraId="57FBD416" w14:textId="289D0909" w:rsidR="00F64260" w:rsidRDefault="00FB08F3" w:rsidP="00FB08F3">
            <w:r>
              <w:t>Reflection</w:t>
            </w:r>
          </w:p>
        </w:tc>
      </w:tr>
      <w:tr w:rsidR="00F64260" w14:paraId="373F39F0" w14:textId="77777777">
        <w:trPr>
          <w:cantSplit/>
        </w:trPr>
        <w:tc>
          <w:tcPr>
            <w:tcW w:w="4518" w:type="dxa"/>
          </w:tcPr>
          <w:p w14:paraId="03860DE1" w14:textId="59BB6416" w:rsidR="00F64260" w:rsidRDefault="00FB08F3" w:rsidP="00FB08F3">
            <w:r>
              <w:rPr>
                <w:rFonts w:ascii="Twentieth Century" w:hAnsi="Twentieth Century"/>
                <w:color w:val="000000"/>
              </w:rPr>
              <w:t>Learn and experientially engage a range of tools and strategies for community-building in youth spaces</w:t>
            </w:r>
          </w:p>
        </w:tc>
        <w:tc>
          <w:tcPr>
            <w:tcW w:w="1710" w:type="dxa"/>
          </w:tcPr>
          <w:p w14:paraId="48CF2D35" w14:textId="77777777" w:rsidR="00F64260" w:rsidRDefault="00F64260"/>
        </w:tc>
        <w:tc>
          <w:tcPr>
            <w:tcW w:w="4788" w:type="dxa"/>
          </w:tcPr>
          <w:p w14:paraId="7BB0CCB9" w14:textId="77777777" w:rsidR="00FB08F3" w:rsidRDefault="00FB08F3" w:rsidP="00FB08F3">
            <w:r>
              <w:t>Participation</w:t>
            </w:r>
          </w:p>
          <w:p w14:paraId="48AACB98" w14:textId="77777777" w:rsidR="00FB08F3" w:rsidRDefault="00FB08F3" w:rsidP="00FB08F3">
            <w:r>
              <w:t>Group Discussion</w:t>
            </w:r>
          </w:p>
          <w:p w14:paraId="4F061422" w14:textId="5B515FC2" w:rsidR="00F64260" w:rsidRDefault="00FB08F3" w:rsidP="00FB08F3">
            <w:r>
              <w:t>Reflection</w:t>
            </w:r>
          </w:p>
        </w:tc>
      </w:tr>
      <w:tr w:rsidR="00FB08F3" w14:paraId="1CEC944D" w14:textId="77777777">
        <w:trPr>
          <w:cantSplit/>
        </w:trPr>
        <w:tc>
          <w:tcPr>
            <w:tcW w:w="4518" w:type="dxa"/>
          </w:tcPr>
          <w:p w14:paraId="2E73490E" w14:textId="04FB9316" w:rsidR="00FB08F3" w:rsidRDefault="00FB08F3" w:rsidP="00FB08F3">
            <w:r>
              <w:rPr>
                <w:rFonts w:ascii="Twentieth Century" w:hAnsi="Twentieth Century"/>
                <w:color w:val="000000"/>
              </w:rPr>
              <w:t>Understand personal connections to institutional racism and its impact on our work in youth development</w:t>
            </w:r>
          </w:p>
        </w:tc>
        <w:tc>
          <w:tcPr>
            <w:tcW w:w="1710" w:type="dxa"/>
          </w:tcPr>
          <w:p w14:paraId="17C6577C" w14:textId="77777777" w:rsidR="00FB08F3" w:rsidRDefault="00FB08F3"/>
        </w:tc>
        <w:tc>
          <w:tcPr>
            <w:tcW w:w="4788" w:type="dxa"/>
          </w:tcPr>
          <w:p w14:paraId="5A083EAA" w14:textId="77777777" w:rsidR="00FB08F3" w:rsidRDefault="00FB08F3" w:rsidP="00FB08F3">
            <w:r>
              <w:t>Participation</w:t>
            </w:r>
          </w:p>
          <w:p w14:paraId="0958F21A" w14:textId="77777777" w:rsidR="00FB08F3" w:rsidRDefault="00FB08F3" w:rsidP="00FB08F3">
            <w:r>
              <w:t>Group Discussion</w:t>
            </w:r>
          </w:p>
          <w:p w14:paraId="2F16E8C5" w14:textId="344C89F7" w:rsidR="00FB08F3" w:rsidRDefault="00FB08F3" w:rsidP="00FB08F3">
            <w:r>
              <w:t>Reflection</w:t>
            </w:r>
          </w:p>
        </w:tc>
      </w:tr>
      <w:tr w:rsidR="00FB08F3" w14:paraId="5865C18C" w14:textId="77777777">
        <w:trPr>
          <w:cantSplit/>
        </w:trPr>
        <w:tc>
          <w:tcPr>
            <w:tcW w:w="4518" w:type="dxa"/>
          </w:tcPr>
          <w:p w14:paraId="3BAD4B83" w14:textId="2A7E75E5" w:rsidR="00FB08F3" w:rsidRDefault="00FB08F3" w:rsidP="00FB08F3">
            <w:r>
              <w:rPr>
                <w:rFonts w:ascii="Twentieth Century" w:hAnsi="Twentieth Century"/>
                <w:color w:val="000000"/>
              </w:rPr>
              <w:t>Develop awareness and understanding about ways to begin to dismantle racism in youth development</w:t>
            </w:r>
          </w:p>
        </w:tc>
        <w:tc>
          <w:tcPr>
            <w:tcW w:w="1710" w:type="dxa"/>
          </w:tcPr>
          <w:p w14:paraId="0236AB26" w14:textId="77777777" w:rsidR="00FB08F3" w:rsidRDefault="00FB08F3"/>
        </w:tc>
        <w:tc>
          <w:tcPr>
            <w:tcW w:w="4788" w:type="dxa"/>
          </w:tcPr>
          <w:p w14:paraId="507D9D58" w14:textId="77777777" w:rsidR="00FB08F3" w:rsidRDefault="00FB08F3" w:rsidP="00FB08F3">
            <w:r>
              <w:t>Participation</w:t>
            </w:r>
          </w:p>
          <w:p w14:paraId="7E0A19EC" w14:textId="77777777" w:rsidR="00FB08F3" w:rsidRDefault="00FB08F3" w:rsidP="00FB08F3">
            <w:r>
              <w:t>Group Discussion</w:t>
            </w:r>
          </w:p>
          <w:p w14:paraId="06507A05" w14:textId="64917495" w:rsidR="00FB08F3" w:rsidRDefault="00FB08F3" w:rsidP="00FB08F3">
            <w:r>
              <w:t>Reflection</w:t>
            </w:r>
          </w:p>
        </w:tc>
      </w:tr>
      <w:tr w:rsidR="00FB08F3" w14:paraId="7FC9A9A9" w14:textId="77777777">
        <w:trPr>
          <w:cantSplit/>
        </w:trPr>
        <w:tc>
          <w:tcPr>
            <w:tcW w:w="4518" w:type="dxa"/>
          </w:tcPr>
          <w:p w14:paraId="0CE625A1" w14:textId="52C4478E" w:rsidR="00FB08F3" w:rsidRDefault="00FB08F3" w:rsidP="00FB08F3">
            <w:r>
              <w:rPr>
                <w:rFonts w:ascii="Twentieth Century" w:hAnsi="Twentieth Century"/>
                <w:color w:val="000000"/>
              </w:rPr>
              <w:lastRenderedPageBreak/>
              <w:t>Create personal, professional and community goals for graduate work</w:t>
            </w:r>
          </w:p>
        </w:tc>
        <w:tc>
          <w:tcPr>
            <w:tcW w:w="1710" w:type="dxa"/>
          </w:tcPr>
          <w:p w14:paraId="743E5AFD" w14:textId="77777777" w:rsidR="00FB08F3" w:rsidRDefault="00FB08F3"/>
        </w:tc>
        <w:tc>
          <w:tcPr>
            <w:tcW w:w="4788" w:type="dxa"/>
          </w:tcPr>
          <w:p w14:paraId="217548A4" w14:textId="77777777" w:rsidR="00FB08F3" w:rsidRDefault="00FB08F3" w:rsidP="00FB08F3">
            <w:r>
              <w:t>Group Discussion</w:t>
            </w:r>
          </w:p>
          <w:p w14:paraId="1735A362" w14:textId="2B7086F5" w:rsidR="00FB08F3" w:rsidRDefault="00FB08F3" w:rsidP="00FB08F3">
            <w:r>
              <w:t>Reflection</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2639F7C3" w14:textId="77777777" w:rsidR="00FB08F3" w:rsidRDefault="00FB08F3" w:rsidP="00FB08F3">
            <w:bookmarkStart w:id="27" w:name="outline"/>
            <w:bookmarkEnd w:id="27"/>
          </w:p>
          <w:p w14:paraId="0D3BBB12" w14:textId="77777777" w:rsidR="007612A4" w:rsidRDefault="00FB08F3" w:rsidP="007612A4">
            <w:pPr>
              <w:pStyle w:val="NormalWeb"/>
              <w:numPr>
                <w:ilvl w:val="0"/>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Building “brave” space</w:t>
            </w:r>
          </w:p>
          <w:p w14:paraId="1D4C6C72" w14:textId="77777777" w:rsidR="007612A4" w:rsidRDefault="00FB08F3" w:rsidP="007612A4">
            <w:pPr>
              <w:pStyle w:val="NormalWeb"/>
              <w:numPr>
                <w:ilvl w:val="1"/>
                <w:numId w:val="12"/>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Community agreements</w:t>
            </w:r>
          </w:p>
          <w:p w14:paraId="3A3C99C4" w14:textId="77777777" w:rsidR="007612A4" w:rsidRDefault="00FB08F3" w:rsidP="007612A4">
            <w:pPr>
              <w:pStyle w:val="NormalWeb"/>
              <w:numPr>
                <w:ilvl w:val="1"/>
                <w:numId w:val="12"/>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Tools and strategies for creating community through:</w:t>
            </w:r>
          </w:p>
          <w:p w14:paraId="39B56C47" w14:textId="42697909" w:rsidR="007612A4" w:rsidRDefault="00FB08F3" w:rsidP="007612A4">
            <w:pPr>
              <w:pStyle w:val="NormalWeb"/>
              <w:numPr>
                <w:ilvl w:val="2"/>
                <w:numId w:val="12"/>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Identity</w:t>
            </w:r>
            <w:r w:rsidR="007612A4">
              <w:rPr>
                <w:rFonts w:ascii="Twentieth Century" w:hAnsi="Twentieth Century"/>
                <w:color w:val="000000"/>
              </w:rPr>
              <w:t>-work</w:t>
            </w:r>
          </w:p>
          <w:p w14:paraId="777E32BD" w14:textId="77777777" w:rsidR="007612A4" w:rsidRDefault="00FB08F3" w:rsidP="007612A4">
            <w:pPr>
              <w:pStyle w:val="NormalWeb"/>
              <w:numPr>
                <w:ilvl w:val="2"/>
                <w:numId w:val="12"/>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Art-making</w:t>
            </w:r>
          </w:p>
          <w:p w14:paraId="4838CF72" w14:textId="77777777" w:rsidR="007612A4" w:rsidRDefault="00FB08F3" w:rsidP="007612A4">
            <w:pPr>
              <w:pStyle w:val="NormalWeb"/>
              <w:numPr>
                <w:ilvl w:val="2"/>
                <w:numId w:val="12"/>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Purposeful play</w:t>
            </w:r>
          </w:p>
          <w:p w14:paraId="0A02B8BC" w14:textId="467B2BC5" w:rsidR="00FB08F3" w:rsidRPr="007612A4" w:rsidRDefault="00FB08F3" w:rsidP="007612A4">
            <w:pPr>
              <w:pStyle w:val="NormalWeb"/>
              <w:numPr>
                <w:ilvl w:val="2"/>
                <w:numId w:val="12"/>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Physical activity</w:t>
            </w:r>
          </w:p>
          <w:p w14:paraId="2575C749" w14:textId="77777777" w:rsidR="00FB08F3" w:rsidRDefault="00FB08F3" w:rsidP="00FB08F3"/>
          <w:p w14:paraId="581EFACD" w14:textId="77777777" w:rsidR="007612A4" w:rsidRDefault="00FB08F3" w:rsidP="007612A4">
            <w:pPr>
              <w:pStyle w:val="NormalWeb"/>
              <w:numPr>
                <w:ilvl w:val="0"/>
                <w:numId w:val="15"/>
              </w:numPr>
              <w:spacing w:before="0" w:beforeAutospacing="0" w:after="0" w:afterAutospacing="0"/>
              <w:ind w:left="0" w:firstLine="0"/>
              <w:textAlignment w:val="baseline"/>
              <w:rPr>
                <w:rFonts w:ascii="Twentieth Century" w:hAnsi="Twentieth Century"/>
                <w:color w:val="000000"/>
              </w:rPr>
            </w:pPr>
            <w:r>
              <w:rPr>
                <w:rFonts w:ascii="Twentieth Century" w:hAnsi="Twentieth Century"/>
                <w:color w:val="000000"/>
              </w:rPr>
              <w:t xml:space="preserve">Anti-racist youth development </w:t>
            </w:r>
          </w:p>
          <w:p w14:paraId="58CB9D6D" w14:textId="77777777" w:rsidR="007612A4" w:rsidRDefault="00FB08F3" w:rsidP="007612A4">
            <w:pPr>
              <w:pStyle w:val="NormalWeb"/>
              <w:numPr>
                <w:ilvl w:val="1"/>
                <w:numId w:val="15"/>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Define racism and four “I’s” of oppression: individual, institutional, ideological, internalized</w:t>
            </w:r>
          </w:p>
          <w:p w14:paraId="1C88E574" w14:textId="77777777" w:rsidR="007612A4" w:rsidRDefault="00FB08F3" w:rsidP="007612A4">
            <w:pPr>
              <w:pStyle w:val="NormalWeb"/>
              <w:numPr>
                <w:ilvl w:val="1"/>
                <w:numId w:val="15"/>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History and contemporary impact of racism in the field of youth development</w:t>
            </w:r>
          </w:p>
          <w:p w14:paraId="02599BBC" w14:textId="77777777" w:rsidR="007612A4" w:rsidRDefault="00FB08F3" w:rsidP="007612A4">
            <w:pPr>
              <w:pStyle w:val="NormalWeb"/>
              <w:numPr>
                <w:ilvl w:val="1"/>
                <w:numId w:val="15"/>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 xml:space="preserve">Personal and professional links to institutional racism </w:t>
            </w:r>
          </w:p>
          <w:p w14:paraId="541DEE86" w14:textId="77777777" w:rsidR="007612A4" w:rsidRDefault="00FB08F3" w:rsidP="007612A4">
            <w:pPr>
              <w:pStyle w:val="NormalWeb"/>
              <w:numPr>
                <w:ilvl w:val="1"/>
                <w:numId w:val="15"/>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Tools and strategies for dismantling racism in youth development</w:t>
            </w:r>
          </w:p>
          <w:p w14:paraId="414DFA4C" w14:textId="1B546C17" w:rsidR="00FB08F3" w:rsidRPr="007612A4" w:rsidRDefault="00FB08F3" w:rsidP="007612A4">
            <w:pPr>
              <w:pStyle w:val="NormalWeb"/>
              <w:numPr>
                <w:ilvl w:val="1"/>
                <w:numId w:val="15"/>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Role of community organizing and building effective multiracial coalitions</w:t>
            </w:r>
          </w:p>
          <w:p w14:paraId="67880182" w14:textId="77777777" w:rsidR="00FB08F3" w:rsidRDefault="00FB08F3" w:rsidP="00FB08F3">
            <w:pPr>
              <w:pStyle w:val="NormalWeb"/>
              <w:spacing w:before="0" w:beforeAutospacing="0" w:after="0" w:afterAutospacing="0"/>
            </w:pPr>
            <w:r>
              <w:rPr>
                <w:rFonts w:ascii="Twentieth Century" w:hAnsi="Twentieth Century"/>
                <w:color w:val="000000"/>
              </w:rPr>
              <w:t xml:space="preserve"> </w:t>
            </w:r>
          </w:p>
          <w:p w14:paraId="7AA74FE5" w14:textId="77777777" w:rsidR="007612A4" w:rsidRDefault="00FB08F3" w:rsidP="007612A4">
            <w:pPr>
              <w:pStyle w:val="NormalWeb"/>
              <w:numPr>
                <w:ilvl w:val="0"/>
                <w:numId w:val="17"/>
              </w:numPr>
              <w:spacing w:before="0" w:beforeAutospacing="0" w:after="0" w:afterAutospacing="0"/>
              <w:textAlignment w:val="baseline"/>
              <w:rPr>
                <w:rFonts w:ascii="Twentieth Century" w:hAnsi="Twentieth Century"/>
                <w:color w:val="000000"/>
              </w:rPr>
            </w:pPr>
            <w:r>
              <w:rPr>
                <w:rFonts w:ascii="Twentieth Century" w:hAnsi="Twentieth Century"/>
                <w:color w:val="000000"/>
              </w:rPr>
              <w:t>Self-reflection and goal-setting</w:t>
            </w:r>
          </w:p>
          <w:p w14:paraId="203BB982" w14:textId="77777777" w:rsidR="007612A4" w:rsidRDefault="00FB08F3" w:rsidP="007612A4">
            <w:pPr>
              <w:pStyle w:val="NormalWeb"/>
              <w:numPr>
                <w:ilvl w:val="1"/>
                <w:numId w:val="17"/>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Race-conscious practice</w:t>
            </w:r>
          </w:p>
          <w:p w14:paraId="0369474F" w14:textId="77777777" w:rsidR="007612A4" w:rsidRDefault="00FB08F3" w:rsidP="007612A4">
            <w:pPr>
              <w:pStyle w:val="NormalWeb"/>
              <w:numPr>
                <w:ilvl w:val="1"/>
                <w:numId w:val="17"/>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Goals for learning and growth</w:t>
            </w:r>
          </w:p>
          <w:p w14:paraId="03A3B5F5" w14:textId="78E141EA" w:rsidR="00FB08F3" w:rsidRPr="007612A4" w:rsidRDefault="00FB08F3" w:rsidP="007612A4">
            <w:pPr>
              <w:pStyle w:val="NormalWeb"/>
              <w:numPr>
                <w:ilvl w:val="1"/>
                <w:numId w:val="17"/>
              </w:numPr>
              <w:spacing w:before="0" w:beforeAutospacing="0" w:after="0" w:afterAutospacing="0"/>
              <w:textAlignment w:val="baseline"/>
              <w:rPr>
                <w:rFonts w:ascii="Twentieth Century" w:hAnsi="Twentieth Century"/>
                <w:color w:val="000000"/>
              </w:rPr>
            </w:pPr>
            <w:r w:rsidRPr="007612A4">
              <w:rPr>
                <w:rFonts w:ascii="Twentieth Century" w:hAnsi="Twentieth Century"/>
                <w:color w:val="000000"/>
              </w:rPr>
              <w:t>Ongoing reflection</w:t>
            </w:r>
            <w:r w:rsidR="007612A4" w:rsidRPr="007612A4">
              <w:rPr>
                <w:rFonts w:ascii="Twentieth Century" w:hAnsi="Twentieth Century"/>
                <w:color w:val="000000"/>
              </w:rPr>
              <w:t xml:space="preserve"> </w:t>
            </w:r>
          </w:p>
          <w:p w14:paraId="0AB31323" w14:textId="155D4DFE" w:rsidR="00FB08F3" w:rsidRDefault="00FB08F3" w:rsidP="007612A4"/>
        </w:tc>
      </w:tr>
    </w:tbl>
    <w:p w14:paraId="62234A1C" w14:textId="77777777" w:rsidR="00F64260" w:rsidRDefault="00F64260"/>
    <w:p w14:paraId="2480EEC2" w14:textId="3D9C6950" w:rsidR="00F64260" w:rsidRDefault="00F64260" w:rsidP="007612A4">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6"/>
        <w:gridCol w:w="3268"/>
        <w:gridCol w:w="3193"/>
        <w:gridCol w:w="1163"/>
      </w:tblGrid>
      <w:tr w:rsidR="00F64260" w:rsidRPr="00402602" w14:paraId="3E2C3849" w14:textId="77777777" w:rsidTr="007779A7">
        <w:trPr>
          <w:cantSplit/>
          <w:tblHeader/>
        </w:trPr>
        <w:tc>
          <w:tcPr>
            <w:tcW w:w="3156" w:type="dxa"/>
            <w:vAlign w:val="center"/>
          </w:tcPr>
          <w:p w14:paraId="0BCCACCB" w14:textId="77777777" w:rsidR="00F64260" w:rsidRPr="00A83A6C" w:rsidRDefault="00F64260" w:rsidP="00310D95">
            <w:pPr>
              <w:pStyle w:val="Heading5"/>
              <w:jc w:val="center"/>
            </w:pPr>
            <w:r w:rsidRPr="00A83A6C">
              <w:t>Name</w:t>
            </w:r>
          </w:p>
        </w:tc>
        <w:tc>
          <w:tcPr>
            <w:tcW w:w="3268" w:type="dxa"/>
            <w:vAlign w:val="center"/>
          </w:tcPr>
          <w:p w14:paraId="460D9FDE" w14:textId="77777777" w:rsidR="00F64260" w:rsidRPr="00A83A6C" w:rsidRDefault="00F64260" w:rsidP="00310D95">
            <w:pPr>
              <w:pStyle w:val="Heading5"/>
              <w:jc w:val="center"/>
            </w:pPr>
            <w:r w:rsidRPr="00A83A6C">
              <w:t>Position/affiliation</w:t>
            </w:r>
          </w:p>
        </w:tc>
        <w:bookmarkStart w:id="28" w:name="_Signature"/>
        <w:bookmarkEnd w:id="28"/>
        <w:tc>
          <w:tcPr>
            <w:tcW w:w="3193"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03B126DA" w14:textId="77777777" w:rsidR="00F64260" w:rsidRPr="00A83A6C" w:rsidRDefault="00F64260" w:rsidP="00310D95">
            <w:pPr>
              <w:pStyle w:val="Heading5"/>
              <w:jc w:val="center"/>
            </w:pPr>
            <w:r w:rsidRPr="00A83A6C">
              <w:t>Date</w:t>
            </w:r>
          </w:p>
        </w:tc>
      </w:tr>
      <w:tr w:rsidR="007612A4" w14:paraId="3BE222E3" w14:textId="77777777" w:rsidTr="007779A7">
        <w:trPr>
          <w:cantSplit/>
          <w:trHeight w:val="489"/>
        </w:trPr>
        <w:tc>
          <w:tcPr>
            <w:tcW w:w="3156" w:type="dxa"/>
            <w:vAlign w:val="center"/>
          </w:tcPr>
          <w:p w14:paraId="4178201C" w14:textId="40A1F844" w:rsidR="007612A4" w:rsidRDefault="007612A4" w:rsidP="007612A4">
            <w:r>
              <w:t xml:space="preserve">Victoria </w:t>
            </w:r>
            <w:proofErr w:type="spellStart"/>
            <w:r>
              <w:t>Restler</w:t>
            </w:r>
            <w:proofErr w:type="spellEnd"/>
          </w:p>
        </w:tc>
        <w:tc>
          <w:tcPr>
            <w:tcW w:w="3268" w:type="dxa"/>
            <w:vAlign w:val="center"/>
          </w:tcPr>
          <w:p w14:paraId="3874B8F9" w14:textId="0A87B8B6" w:rsidR="007612A4" w:rsidRDefault="007612A4" w:rsidP="007612A4">
            <w:r>
              <w:t>Program Director of Youth Development MA</w:t>
            </w:r>
          </w:p>
        </w:tc>
        <w:tc>
          <w:tcPr>
            <w:tcW w:w="3193" w:type="dxa"/>
            <w:vAlign w:val="center"/>
          </w:tcPr>
          <w:p w14:paraId="70E90A63" w14:textId="77777777" w:rsidR="007612A4" w:rsidRDefault="007612A4" w:rsidP="007612A4"/>
        </w:tc>
        <w:tc>
          <w:tcPr>
            <w:tcW w:w="1163" w:type="dxa"/>
            <w:vAlign w:val="center"/>
          </w:tcPr>
          <w:p w14:paraId="37406151" w14:textId="77777777" w:rsidR="007612A4" w:rsidRDefault="007612A4" w:rsidP="007612A4"/>
        </w:tc>
      </w:tr>
      <w:tr w:rsidR="007612A4" w14:paraId="0072B50B" w14:textId="77777777" w:rsidTr="007779A7">
        <w:trPr>
          <w:cantSplit/>
          <w:trHeight w:val="489"/>
        </w:trPr>
        <w:tc>
          <w:tcPr>
            <w:tcW w:w="3156" w:type="dxa"/>
            <w:vAlign w:val="center"/>
          </w:tcPr>
          <w:p w14:paraId="6D613CB9" w14:textId="13C5E36E" w:rsidR="007612A4" w:rsidRDefault="007612A4" w:rsidP="007612A4">
            <w:r>
              <w:t xml:space="preserve">Lesley </w:t>
            </w:r>
            <w:proofErr w:type="spellStart"/>
            <w:r>
              <w:t>Bogad</w:t>
            </w:r>
            <w:proofErr w:type="spellEnd"/>
          </w:p>
        </w:tc>
        <w:tc>
          <w:tcPr>
            <w:tcW w:w="3268" w:type="dxa"/>
            <w:vAlign w:val="center"/>
          </w:tcPr>
          <w:p w14:paraId="46637261" w14:textId="45C1C732" w:rsidR="007612A4" w:rsidRDefault="007612A4" w:rsidP="007612A4">
            <w:r>
              <w:t>Chair of Educational Studies</w:t>
            </w:r>
          </w:p>
        </w:tc>
        <w:tc>
          <w:tcPr>
            <w:tcW w:w="3193" w:type="dxa"/>
            <w:vAlign w:val="center"/>
          </w:tcPr>
          <w:p w14:paraId="7027BFBD" w14:textId="77777777" w:rsidR="007612A4" w:rsidRDefault="007612A4" w:rsidP="007612A4"/>
        </w:tc>
        <w:tc>
          <w:tcPr>
            <w:tcW w:w="1163" w:type="dxa"/>
            <w:vAlign w:val="center"/>
          </w:tcPr>
          <w:p w14:paraId="3FF3A0F5" w14:textId="77777777" w:rsidR="007612A4" w:rsidRDefault="007612A4" w:rsidP="007612A4"/>
        </w:tc>
      </w:tr>
      <w:tr w:rsidR="007612A4" w14:paraId="4AAC3901" w14:textId="77777777" w:rsidTr="007779A7">
        <w:trPr>
          <w:cantSplit/>
          <w:trHeight w:val="489"/>
        </w:trPr>
        <w:tc>
          <w:tcPr>
            <w:tcW w:w="3156" w:type="dxa"/>
            <w:vAlign w:val="center"/>
          </w:tcPr>
          <w:p w14:paraId="4B9818E6" w14:textId="5D6CB750" w:rsidR="007612A4" w:rsidRDefault="007612A4" w:rsidP="007612A4">
            <w:r>
              <w:t>Gerri August</w:t>
            </w:r>
            <w:r w:rsidR="007779A7">
              <w:t xml:space="preserve"> + Julie Horwitz</w:t>
            </w:r>
          </w:p>
        </w:tc>
        <w:tc>
          <w:tcPr>
            <w:tcW w:w="3268" w:type="dxa"/>
            <w:vAlign w:val="center"/>
          </w:tcPr>
          <w:p w14:paraId="25000859" w14:textId="2EC15427" w:rsidR="007612A4" w:rsidRDefault="007612A4" w:rsidP="007612A4">
            <w:r>
              <w:t>Dean</w:t>
            </w:r>
            <w:r w:rsidR="007779A7">
              <w:t>s</w:t>
            </w:r>
            <w:r>
              <w:t xml:space="preserve"> of Feinstein School of Education and Human Development</w:t>
            </w:r>
          </w:p>
        </w:tc>
        <w:tc>
          <w:tcPr>
            <w:tcW w:w="3193" w:type="dxa"/>
            <w:vAlign w:val="center"/>
          </w:tcPr>
          <w:p w14:paraId="0D4D06A4" w14:textId="77777777" w:rsidR="007612A4" w:rsidRDefault="007612A4" w:rsidP="007612A4"/>
        </w:tc>
        <w:tc>
          <w:tcPr>
            <w:tcW w:w="1163" w:type="dxa"/>
            <w:vAlign w:val="center"/>
          </w:tcPr>
          <w:p w14:paraId="5F047FEB" w14:textId="45B2A4DA" w:rsidR="007612A4" w:rsidRDefault="007612A4" w:rsidP="007612A4"/>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5"/>
        <w:gridCol w:w="3268"/>
        <w:gridCol w:w="3194"/>
        <w:gridCol w:w="1163"/>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1B11D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0" w:name="Signature_2"/>
            <w:bookmarkEnd w:id="30"/>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tc>
        <w:tc>
          <w:tcPr>
            <w:tcW w:w="3279" w:type="dxa"/>
            <w:vAlign w:val="center"/>
          </w:tcPr>
          <w:p w14:paraId="78649D71" w14:textId="77777777" w:rsidR="00F64260" w:rsidRDefault="00F64260" w:rsidP="00120C12"/>
        </w:tc>
        <w:tc>
          <w:tcPr>
            <w:tcW w:w="3280" w:type="dxa"/>
            <w:vAlign w:val="center"/>
          </w:tcPr>
          <w:p w14:paraId="46F90178" w14:textId="77777777" w:rsidR="00F64260" w:rsidRDefault="00F64260" w:rsidP="00120C12"/>
        </w:tc>
        <w:tc>
          <w:tcPr>
            <w:tcW w:w="1178" w:type="dxa"/>
            <w:vAlign w:val="center"/>
          </w:tcPr>
          <w:p w14:paraId="59BA3787" w14:textId="77777777" w:rsidR="00F64260" w:rsidRDefault="00F64260" w:rsidP="00120C12"/>
        </w:tc>
      </w:tr>
      <w:tr w:rsidR="00F64260" w14:paraId="112A2FBE" w14:textId="77777777">
        <w:trPr>
          <w:cantSplit/>
          <w:trHeight w:val="489"/>
        </w:trPr>
        <w:tc>
          <w:tcPr>
            <w:tcW w:w="3279" w:type="dxa"/>
            <w:vAlign w:val="center"/>
          </w:tcPr>
          <w:p w14:paraId="56C73997" w14:textId="77777777" w:rsidR="00F64260" w:rsidRDefault="00F64260" w:rsidP="00120C12"/>
        </w:tc>
        <w:tc>
          <w:tcPr>
            <w:tcW w:w="3279" w:type="dxa"/>
            <w:vAlign w:val="center"/>
          </w:tcPr>
          <w:p w14:paraId="33F93D8F" w14:textId="77777777" w:rsidR="00F64260" w:rsidRDefault="00F64260" w:rsidP="00120C12"/>
        </w:tc>
        <w:tc>
          <w:tcPr>
            <w:tcW w:w="3280" w:type="dxa"/>
            <w:vAlign w:val="center"/>
          </w:tcPr>
          <w:p w14:paraId="7BBB5968" w14:textId="77777777" w:rsidR="00F64260" w:rsidRDefault="00F64260" w:rsidP="00120C12"/>
        </w:tc>
        <w:tc>
          <w:tcPr>
            <w:tcW w:w="1178" w:type="dxa"/>
            <w:vAlign w:val="center"/>
          </w:tcPr>
          <w:p w14:paraId="5D61EF67" w14:textId="77777777" w:rsidR="00F64260" w:rsidRDefault="00F64260" w:rsidP="00120C12"/>
        </w:tc>
      </w:tr>
      <w:tr w:rsidR="00F64260" w14:paraId="2CD089C8" w14:textId="77777777">
        <w:trPr>
          <w:cantSplit/>
          <w:trHeight w:val="489"/>
        </w:trPr>
        <w:tc>
          <w:tcPr>
            <w:tcW w:w="3279" w:type="dxa"/>
            <w:vAlign w:val="center"/>
          </w:tcPr>
          <w:p w14:paraId="1A764007" w14:textId="77777777" w:rsidR="00F64260" w:rsidRDefault="00F64260" w:rsidP="00120C12"/>
        </w:tc>
        <w:tc>
          <w:tcPr>
            <w:tcW w:w="3279" w:type="dxa"/>
            <w:vAlign w:val="center"/>
          </w:tcPr>
          <w:p w14:paraId="45830244" w14:textId="77777777" w:rsidR="00F64260" w:rsidRDefault="00F64260" w:rsidP="00120C12"/>
        </w:tc>
        <w:tc>
          <w:tcPr>
            <w:tcW w:w="3280" w:type="dxa"/>
            <w:vAlign w:val="center"/>
          </w:tcPr>
          <w:p w14:paraId="4DFACD9C" w14:textId="77777777" w:rsidR="00F64260" w:rsidRDefault="00F64260" w:rsidP="00120C12"/>
        </w:tc>
        <w:tc>
          <w:tcPr>
            <w:tcW w:w="1178" w:type="dxa"/>
            <w:vAlign w:val="center"/>
          </w:tcPr>
          <w:p w14:paraId="29AEAA85" w14:textId="77777777" w:rsidR="00F64260" w:rsidRDefault="00F64260" w:rsidP="00120C12">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AD27" w14:textId="77777777" w:rsidR="001B11D1" w:rsidRDefault="001B11D1" w:rsidP="00FA78CA">
      <w:r>
        <w:separator/>
      </w:r>
    </w:p>
  </w:endnote>
  <w:endnote w:type="continuationSeparator" w:id="0">
    <w:p w14:paraId="71E79D65" w14:textId="77777777" w:rsidR="001B11D1" w:rsidRDefault="001B11D1"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entieth Century">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C676" w14:textId="77777777" w:rsidR="001D3BB0" w:rsidRDefault="001D3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058C2B0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1D3BB0">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1D3BB0">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D186" w14:textId="77777777" w:rsidR="001D3BB0" w:rsidRDefault="001D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7B0A" w14:textId="77777777" w:rsidR="001B11D1" w:rsidRDefault="001B11D1" w:rsidP="00FA78CA">
      <w:r>
        <w:separator/>
      </w:r>
    </w:p>
  </w:footnote>
  <w:footnote w:type="continuationSeparator" w:id="0">
    <w:p w14:paraId="360C5C26" w14:textId="77777777" w:rsidR="001B11D1" w:rsidRDefault="001B11D1"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F5AE" w14:textId="77777777" w:rsidR="001D3BB0" w:rsidRDefault="001D3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F3A517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1D3BB0">
      <w:rPr>
        <w:color w:val="4F6228"/>
      </w:rPr>
      <w:t>1819_35 YDEV 502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D3BB0">
      <w:rPr>
        <w:color w:val="4F6228"/>
      </w:rPr>
      <w:t>1/2/19</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3D53" w14:textId="77777777" w:rsidR="001D3BB0" w:rsidRDefault="001D3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D74B6"/>
    <w:multiLevelType w:val="multilevel"/>
    <w:tmpl w:val="F92005D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F8419C"/>
    <w:multiLevelType w:val="multilevel"/>
    <w:tmpl w:val="7E866A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0255DC"/>
    <w:multiLevelType w:val="multilevel"/>
    <w:tmpl w:val="487668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7E491D39"/>
    <w:multiLevelType w:val="multilevel"/>
    <w:tmpl w:val="A78A001C"/>
    <w:lvl w:ilvl="0">
      <w:start w:val="2"/>
      <w:numFmt w:val="decimal"/>
      <w:lvlText w:val="%1."/>
      <w:lvlJc w:val="left"/>
      <w:pPr>
        <w:tabs>
          <w:tab w:val="num" w:pos="720"/>
        </w:tabs>
        <w:ind w:left="720" w:hanging="360"/>
      </w:pPr>
    </w:lvl>
    <w:lvl w:ilvl="1">
      <w:start w:val="1"/>
      <w:numFmt w:val="lowerLetter"/>
      <w:lvlText w:val="%2)"/>
      <w:lvlJc w:val="left"/>
      <w:pPr>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3"/>
  </w:num>
  <w:num w:numId="12">
    <w:abstractNumId w:val="5"/>
  </w:num>
  <w:num w:numId="13">
    <w:abstractNumId w:val="5"/>
    <w:lvlOverride w:ilvl="1">
      <w:lvl w:ilvl="1">
        <w:numFmt w:val="lowerLetter"/>
        <w:lvlText w:val="%2."/>
        <w:lvlJc w:val="left"/>
      </w:lvl>
    </w:lvlOverride>
  </w:num>
  <w:num w:numId="14">
    <w:abstractNumId w:val="5"/>
    <w:lvlOverride w:ilvl="1">
      <w:lvl w:ilvl="1">
        <w:numFmt w:val="lowerLetter"/>
        <w:lvlText w:val="%2."/>
        <w:lvlJc w:val="left"/>
      </w:lvl>
    </w:lvlOverride>
    <w:lvlOverride w:ilvl="2">
      <w:lvl w:ilvl="2">
        <w:numFmt w:val="lowerRoman"/>
        <w:lvlText w:val="%3."/>
        <w:lvlJc w:val="right"/>
      </w:lvl>
    </w:lvlOverride>
  </w:num>
  <w:num w:numId="1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2"/>
    <w:lvlOverride w:ilvl="0">
      <w:lvl w:ilvl="0">
        <w:numFmt w:val="decimal"/>
        <w:lvlText w:val="%1."/>
        <w:lvlJc w:val="left"/>
      </w:lvl>
    </w:lvlOverride>
    <w:lvlOverride w:ilvl="1">
      <w:lvl w:ilvl="1">
        <w:numFmt w:val="lowerLetter"/>
        <w:lvlText w:val="%2."/>
        <w:lvlJc w:val="left"/>
      </w:lvl>
    </w:lvlOverride>
  </w:num>
  <w:num w:numId="17">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11"/>
    <w:lvlOverride w:ilvl="0">
      <w:lvl w:ilvl="0">
        <w:numFmt w:val="decimal"/>
        <w:lvlText w:val="%1."/>
        <w:lvlJc w:val="left"/>
      </w:lvl>
    </w:lvlOverride>
    <w:lvlOverride w:ilvl="1">
      <w:lvl w:ilvl="1">
        <w:numFmt w:val="lowerLetter"/>
        <w:lvlText w:val="%2."/>
        <w:lvlJc w:val="left"/>
      </w:lvl>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39EF"/>
    <w:rsid w:val="00017C7D"/>
    <w:rsid w:val="000301C7"/>
    <w:rsid w:val="000357A5"/>
    <w:rsid w:val="00044E2A"/>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11D1"/>
    <w:rsid w:val="001B2E3A"/>
    <w:rsid w:val="001D3BB0"/>
    <w:rsid w:val="001E2E54"/>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77A34"/>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85B87"/>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2A4"/>
    <w:rsid w:val="00761537"/>
    <w:rsid w:val="00775CB0"/>
    <w:rsid w:val="007779A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C54D9"/>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B7702"/>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EF51C0"/>
    <w:rsid w:val="00F15B95"/>
    <w:rsid w:val="00F32980"/>
    <w:rsid w:val="00F56CE6"/>
    <w:rsid w:val="00F64260"/>
    <w:rsid w:val="00F871BA"/>
    <w:rsid w:val="00FA6359"/>
    <w:rsid w:val="00FA6998"/>
    <w:rsid w:val="00FA72E0"/>
    <w:rsid w:val="00FA769F"/>
    <w:rsid w:val="00FA78CA"/>
    <w:rsid w:val="00FB08F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F870ADD-43C2-5842-A7E9-09AC0A9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F3"/>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1E2E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0373">
      <w:bodyDiv w:val="1"/>
      <w:marLeft w:val="0"/>
      <w:marRight w:val="0"/>
      <w:marTop w:val="0"/>
      <w:marBottom w:val="0"/>
      <w:divBdr>
        <w:top w:val="none" w:sz="0" w:space="0" w:color="auto"/>
        <w:left w:val="none" w:sz="0" w:space="0" w:color="auto"/>
        <w:bottom w:val="none" w:sz="0" w:space="0" w:color="auto"/>
        <w:right w:val="none" w:sz="0" w:space="0" w:color="auto"/>
      </w:divBdr>
    </w:div>
    <w:div w:id="438764994">
      <w:bodyDiv w:val="1"/>
      <w:marLeft w:val="0"/>
      <w:marRight w:val="0"/>
      <w:marTop w:val="0"/>
      <w:marBottom w:val="0"/>
      <w:divBdr>
        <w:top w:val="none" w:sz="0" w:space="0" w:color="auto"/>
        <w:left w:val="none" w:sz="0" w:space="0" w:color="auto"/>
        <w:bottom w:val="none" w:sz="0" w:space="0" w:color="auto"/>
        <w:right w:val="none" w:sz="0" w:space="0" w:color="auto"/>
      </w:divBdr>
    </w:div>
    <w:div w:id="467865966">
      <w:bodyDiv w:val="1"/>
      <w:marLeft w:val="0"/>
      <w:marRight w:val="0"/>
      <w:marTop w:val="0"/>
      <w:marBottom w:val="0"/>
      <w:divBdr>
        <w:top w:val="none" w:sz="0" w:space="0" w:color="auto"/>
        <w:left w:val="none" w:sz="0" w:space="0" w:color="auto"/>
        <w:bottom w:val="none" w:sz="0" w:space="0" w:color="auto"/>
        <w:right w:val="none" w:sz="0" w:space="0" w:color="auto"/>
      </w:divBdr>
    </w:div>
    <w:div w:id="521432803">
      <w:bodyDiv w:val="1"/>
      <w:marLeft w:val="0"/>
      <w:marRight w:val="0"/>
      <w:marTop w:val="0"/>
      <w:marBottom w:val="0"/>
      <w:divBdr>
        <w:top w:val="none" w:sz="0" w:space="0" w:color="auto"/>
        <w:left w:val="none" w:sz="0" w:space="0" w:color="auto"/>
        <w:bottom w:val="none" w:sz="0" w:space="0" w:color="auto"/>
        <w:right w:val="none" w:sz="0" w:space="0" w:color="auto"/>
      </w:divBdr>
    </w:div>
    <w:div w:id="557472858">
      <w:bodyDiv w:val="1"/>
      <w:marLeft w:val="0"/>
      <w:marRight w:val="0"/>
      <w:marTop w:val="0"/>
      <w:marBottom w:val="0"/>
      <w:divBdr>
        <w:top w:val="none" w:sz="0" w:space="0" w:color="auto"/>
        <w:left w:val="none" w:sz="0" w:space="0" w:color="auto"/>
        <w:bottom w:val="none" w:sz="0" w:space="0" w:color="auto"/>
        <w:right w:val="none" w:sz="0" w:space="0" w:color="auto"/>
      </w:divBdr>
    </w:div>
    <w:div w:id="574630941">
      <w:bodyDiv w:val="1"/>
      <w:marLeft w:val="0"/>
      <w:marRight w:val="0"/>
      <w:marTop w:val="0"/>
      <w:marBottom w:val="0"/>
      <w:divBdr>
        <w:top w:val="none" w:sz="0" w:space="0" w:color="auto"/>
        <w:left w:val="none" w:sz="0" w:space="0" w:color="auto"/>
        <w:bottom w:val="none" w:sz="0" w:space="0" w:color="auto"/>
        <w:right w:val="none" w:sz="0" w:space="0" w:color="auto"/>
      </w:divBdr>
    </w:div>
    <w:div w:id="867645635">
      <w:bodyDiv w:val="1"/>
      <w:marLeft w:val="0"/>
      <w:marRight w:val="0"/>
      <w:marTop w:val="0"/>
      <w:marBottom w:val="0"/>
      <w:divBdr>
        <w:top w:val="none" w:sz="0" w:space="0" w:color="auto"/>
        <w:left w:val="none" w:sz="0" w:space="0" w:color="auto"/>
        <w:bottom w:val="none" w:sz="0" w:space="0" w:color="auto"/>
        <w:right w:val="none" w:sz="0" w:space="0" w:color="auto"/>
      </w:divBdr>
    </w:div>
    <w:div w:id="1140920650">
      <w:bodyDiv w:val="1"/>
      <w:marLeft w:val="0"/>
      <w:marRight w:val="0"/>
      <w:marTop w:val="0"/>
      <w:marBottom w:val="0"/>
      <w:divBdr>
        <w:top w:val="none" w:sz="0" w:space="0" w:color="auto"/>
        <w:left w:val="none" w:sz="0" w:space="0" w:color="auto"/>
        <w:bottom w:val="none" w:sz="0" w:space="0" w:color="auto"/>
        <w:right w:val="none" w:sz="0" w:space="0" w:color="auto"/>
      </w:divBdr>
    </w:div>
    <w:div w:id="1469128473">
      <w:bodyDiv w:val="1"/>
      <w:marLeft w:val="0"/>
      <w:marRight w:val="0"/>
      <w:marTop w:val="0"/>
      <w:marBottom w:val="0"/>
      <w:divBdr>
        <w:top w:val="none" w:sz="0" w:space="0" w:color="auto"/>
        <w:left w:val="none" w:sz="0" w:space="0" w:color="auto"/>
        <w:bottom w:val="none" w:sz="0" w:space="0" w:color="auto"/>
        <w:right w:val="none" w:sz="0" w:space="0" w:color="auto"/>
      </w:divBdr>
    </w:div>
    <w:div w:id="1871062666">
      <w:bodyDiv w:val="1"/>
      <w:marLeft w:val="0"/>
      <w:marRight w:val="0"/>
      <w:marTop w:val="0"/>
      <w:marBottom w:val="0"/>
      <w:divBdr>
        <w:top w:val="none" w:sz="0" w:space="0" w:color="auto"/>
        <w:left w:val="none" w:sz="0" w:space="0" w:color="auto"/>
        <w:bottom w:val="none" w:sz="0" w:space="0" w:color="auto"/>
        <w:right w:val="none" w:sz="0" w:space="0" w:color="auto"/>
      </w:divBdr>
    </w:div>
    <w:div w:id="1893269898">
      <w:bodyDiv w:val="1"/>
      <w:marLeft w:val="0"/>
      <w:marRight w:val="0"/>
      <w:marTop w:val="0"/>
      <w:marBottom w:val="0"/>
      <w:divBdr>
        <w:top w:val="none" w:sz="0" w:space="0" w:color="auto"/>
        <w:left w:val="none" w:sz="0" w:space="0" w:color="auto"/>
        <w:bottom w:val="none" w:sz="0" w:space="0" w:color="auto"/>
        <w:right w:val="none" w:sz="0" w:space="0" w:color="auto"/>
      </w:divBdr>
    </w:div>
    <w:div w:id="19125034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67Z3ZXSPZZWZ-954-125</_dlc_DocId>
    <_dlc_DocIdUrl xmlns="67887a43-7e4d-4c1c-91d7-15e417b1b8ab">
      <Url>https://w3.ric.edu/graduate_committee/_layouts/15/DocIdRedir.aspx?ID=67Z3ZXSPZZWZ-954-125</Url>
      <Description>67Z3ZXSPZZWZ-954-125</Description>
    </_dlc_DocIdUrl>
  </documentManagement>
</p:properties>
</file>

<file path=customXml/itemProps1.xml><?xml version="1.0" encoding="utf-8"?>
<ds:datastoreItem xmlns:ds="http://schemas.openxmlformats.org/officeDocument/2006/customXml" ds:itemID="{616FDA14-EC3D-48AC-B20F-79DB7219FCF8}"/>
</file>

<file path=customXml/itemProps2.xml><?xml version="1.0" encoding="utf-8"?>
<ds:datastoreItem xmlns:ds="http://schemas.openxmlformats.org/officeDocument/2006/customXml" ds:itemID="{9B7E6525-94C9-42BB-B360-AF8A3017283F}"/>
</file>

<file path=customXml/itemProps3.xml><?xml version="1.0" encoding="utf-8"?>
<ds:datastoreItem xmlns:ds="http://schemas.openxmlformats.org/officeDocument/2006/customXml" ds:itemID="{5C8BEE6A-705A-4835-AE3F-0C40617E28D1}"/>
</file>

<file path=customXml/itemProps4.xml><?xml version="1.0" encoding="utf-8"?>
<ds:datastoreItem xmlns:ds="http://schemas.openxmlformats.org/officeDocument/2006/customXml" ds:itemID="{8410A61C-C5F9-4CAD-A161-FAC7664AC74D}"/>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2019-01-20T12:48:00Z</dcterms:created>
  <dcterms:modified xsi:type="dcterms:W3CDTF">2019-01-20T12:48:00Z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3f1d427b-cf2b-4c59-a160-1de509fb695b</vt:lpwstr>
  </property>
</Properties>
</file>