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9F2C0BC" w:rsidR="00F64260" w:rsidRPr="00FE0FFD" w:rsidRDefault="00FE0FFD" w:rsidP="00FE0FFD">
            <w:pPr>
              <w:spacing w:line="240" w:lineRule="auto"/>
              <w:rPr>
                <w:sz w:val="24"/>
                <w:szCs w:val="24"/>
              </w:rPr>
            </w:pPr>
            <w:bookmarkStart w:id="0" w:name="Proposal"/>
            <w:bookmarkEnd w:id="0"/>
            <w:r>
              <w:rPr>
                <w:rFonts w:ascii="Twentieth Century" w:hAnsi="Twentieth Century"/>
                <w:b/>
                <w:bCs/>
                <w:color w:val="000000"/>
              </w:rPr>
              <w:t>YDEV 501 YOUTH DEVELOPMENT THEORY AND PRACTICE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468F968" w:rsidR="00F64260" w:rsidRPr="005F2A05" w:rsidRDefault="00F64260" w:rsidP="00EB049C">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A34D70F" w:rsidR="00F64260" w:rsidRPr="00B605CE" w:rsidRDefault="00EB049C" w:rsidP="00B862BF">
            <w:pPr>
              <w:rPr>
                <w:b/>
              </w:rPr>
            </w:pPr>
            <w:bookmarkStart w:id="4" w:name="Originator"/>
            <w:bookmarkEnd w:id="4"/>
            <w:r>
              <w:rPr>
                <w:b/>
              </w:rPr>
              <w:t>Victoria Restler</w:t>
            </w:r>
          </w:p>
        </w:tc>
        <w:tc>
          <w:tcPr>
            <w:tcW w:w="1210" w:type="pct"/>
            <w:gridSpan w:val="2"/>
          </w:tcPr>
          <w:p w14:paraId="561C556F" w14:textId="77777777" w:rsidR="00F64260" w:rsidRPr="00946B20" w:rsidRDefault="00F815C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0D89BA8" w:rsidR="00F64260" w:rsidRPr="00B605CE" w:rsidRDefault="00FE0FFD" w:rsidP="00B862BF">
            <w:pPr>
              <w:rPr>
                <w:b/>
              </w:rPr>
            </w:pPr>
            <w:bookmarkStart w:id="5" w:name="home_dept"/>
            <w:bookmarkEnd w:id="5"/>
            <w:r>
              <w:rPr>
                <w:b/>
              </w:rPr>
              <w:t>Youth Development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00BB0486" w14:textId="77777777" w:rsidR="00FE0FFD" w:rsidRDefault="00FE0FFD" w:rsidP="00FE0FFD">
            <w:pPr>
              <w:pStyle w:val="NormalWeb"/>
              <w:spacing w:before="0" w:beforeAutospacing="0" w:after="0" w:afterAutospacing="0"/>
            </w:pPr>
            <w:bookmarkStart w:id="6" w:name="Rationale"/>
            <w:bookmarkEnd w:id="6"/>
            <w:r>
              <w:rPr>
                <w:rFonts w:ascii="Twentieth Century" w:hAnsi="Twentieth Century"/>
                <w:color w:val="000000"/>
              </w:rPr>
              <w:t>This advanced-level introduction to youth development is the first course for all students enrolled in the Youth Development Master’s program. The seminar aims to introduce (and deepen) students’ knowledge and analysis of the field through engagement with youth development history, theory, pedagogy, and sustained reflective practice. Students will use their current employment (in youth development) as a site of reflection and analysis; internship placements will be provided as needed.</w:t>
            </w:r>
          </w:p>
          <w:p w14:paraId="21A92E25" w14:textId="77777777" w:rsidR="00FE0FFD" w:rsidRDefault="00FE0FFD" w:rsidP="00FE0FFD"/>
          <w:p w14:paraId="725C1463" w14:textId="77777777" w:rsidR="00FE0FFD" w:rsidRDefault="00FE0FFD" w:rsidP="00FE0FFD">
            <w:pPr>
              <w:pStyle w:val="NormalWeb"/>
              <w:spacing w:before="0" w:beforeAutospacing="0" w:after="0" w:afterAutospacing="0"/>
            </w:pPr>
            <w:r>
              <w:rPr>
                <w:rFonts w:ascii="Twentieth Century" w:hAnsi="Twentieth Century"/>
                <w:color w:val="000000"/>
              </w:rPr>
              <w:t>Beginning with a critical childhood studies framework, students will explore the multiple constructs of childhood and adolescence (social, medical, developmental, historical) and how these constructions are shaped by race, class, gender, and dis/ability. We will trace the history of the field of Youth Development (in the US and globally), and consider the major theories, anchors, and ideologies that support current frameworks. Students will learn about leadership models and pedagogy in Youth Development including social-emotional learning, critical pedagogy, and youth leadership.</w:t>
            </w:r>
          </w:p>
          <w:p w14:paraId="5187023A" w14:textId="77777777" w:rsidR="00FE0FFD" w:rsidRDefault="00FE0FFD" w:rsidP="00FE0FFD"/>
          <w:p w14:paraId="48BFECDD" w14:textId="4B6BD68C" w:rsidR="00F64260" w:rsidRPr="00FE0FFD" w:rsidRDefault="00FE0FFD" w:rsidP="00FE0FFD">
            <w:pPr>
              <w:pStyle w:val="NormalWeb"/>
              <w:spacing w:before="0" w:beforeAutospacing="0" w:after="0" w:afterAutospacing="0"/>
            </w:pPr>
            <w:r>
              <w:rPr>
                <w:rFonts w:ascii="Twentieth Century" w:hAnsi="Twentieth Century"/>
                <w:color w:val="000000"/>
              </w:rPr>
              <w:t>Finally, throughout the course, students will be engaged in critical self-reflection--exploring both their own identities and social locations as youth development professionals, and their daily youth work practice. Adapting Mellow et. al’s (2015) Pedagogical Practice Improvement Model, students will digitally document a portion of their weekly practice and analyze their work together with peers in a community of practice. This ongoing project is designed to help students analyze and improve on their work in the field, learn about Youth Development with and through professional peers, and develop a personal philosophy of YDEV, rooted in ideologies, anchors, identity and social location.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73D3088" w:rsidR="000357A5" w:rsidRPr="00B605CE" w:rsidRDefault="00FE0FFD" w:rsidP="00B862BF">
            <w:pPr>
              <w:rPr>
                <w:b/>
              </w:rPr>
            </w:pPr>
            <w:r>
              <w:rPr>
                <w:b/>
              </w:rPr>
              <w:t>This course focuses on building community, skills and shared language for the new YDEV MA cohort.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0A391D4" w:rsidR="000357A5" w:rsidRPr="00B605CE" w:rsidRDefault="00FE0FFD"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1BD17A3F" w:rsidR="00B07266" w:rsidRPr="00FE0FFD" w:rsidRDefault="00FE0FFD" w:rsidP="00C25F9D">
            <w:pPr>
              <w:rPr>
                <w:bCs/>
              </w:rPr>
            </w:pPr>
            <w:bookmarkStart w:id="8" w:name="faculty"/>
            <w:bookmarkEnd w:id="8"/>
            <w:r w:rsidRPr="00FE0FFD">
              <w:rPr>
                <w:bCs/>
              </w:rPr>
              <w:t xml:space="preserve">Course will be taught by </w:t>
            </w:r>
            <w:r w:rsidR="003B7E66">
              <w:rPr>
                <w:bCs/>
              </w:rPr>
              <w:t xml:space="preserve">Rhode Island College </w:t>
            </w:r>
            <w:r w:rsidRPr="00FE0FFD">
              <w:rPr>
                <w:bCs/>
              </w:rPr>
              <w:t>faculty</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F815C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256423FD" w:rsidR="00B07266" w:rsidRPr="00FE0FFD" w:rsidRDefault="00FE0FFD" w:rsidP="00C25F9D">
            <w:pPr>
              <w:rPr>
                <w:bCs/>
              </w:rPr>
            </w:pPr>
            <w:bookmarkStart w:id="9" w:name="library"/>
            <w:bookmarkEnd w:id="9"/>
            <w:r w:rsidRPr="00FE0FFD">
              <w:rPr>
                <w:bCs/>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F815CF"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5E2CFA52" w:rsidR="00B07266" w:rsidRPr="00FE0FFD" w:rsidRDefault="00FE0FFD" w:rsidP="00C25F9D">
            <w:pPr>
              <w:rPr>
                <w:bCs/>
              </w:rPr>
            </w:pPr>
            <w:bookmarkStart w:id="10" w:name="technology"/>
            <w:bookmarkEnd w:id="10"/>
            <w:r w:rsidRPr="00FE0FFD">
              <w:rPr>
                <w:bCs/>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F815CF"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E8C0E80" w:rsidR="00B07266" w:rsidRPr="00FE0FFD" w:rsidRDefault="00FE0FFD" w:rsidP="00C25F9D">
            <w:pPr>
              <w:rPr>
                <w:bCs/>
              </w:rPr>
            </w:pPr>
            <w:bookmarkStart w:id="11" w:name="facilities"/>
            <w:bookmarkEnd w:id="11"/>
            <w:r w:rsidRPr="00FE0FFD">
              <w:rPr>
                <w:bCs/>
              </w:rPr>
              <w:t>The course will require one classroom each Fall semester.</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5E154839" w:rsidR="00B07266" w:rsidRPr="00FE0FFD" w:rsidRDefault="00FE0FFD" w:rsidP="00C25F9D">
            <w:pPr>
              <w:rPr>
                <w:bCs/>
              </w:rPr>
            </w:pPr>
            <w:r w:rsidRPr="00FE0FFD">
              <w:rPr>
                <w:bCs/>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312A715" w:rsidR="000357A5" w:rsidRPr="00FE0FFD" w:rsidRDefault="00FE0FFD" w:rsidP="00C25F9D">
            <w:pPr>
              <w:rPr>
                <w:bCs/>
              </w:rPr>
            </w:pPr>
            <w:bookmarkStart w:id="12" w:name="prog_impact"/>
            <w:bookmarkEnd w:id="12"/>
            <w:r w:rsidRPr="00FE0FFD">
              <w:rPr>
                <w:bCs/>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83"/>
        <w:gridCol w:w="7697"/>
      </w:tblGrid>
      <w:tr w:rsidR="00FE0FFD" w:rsidRPr="006E3AF2" w14:paraId="3273EA00" w14:textId="77777777" w:rsidTr="00FE0FFD">
        <w:trPr>
          <w:tblHeader/>
        </w:trPr>
        <w:tc>
          <w:tcPr>
            <w:tcW w:w="3168" w:type="dxa"/>
            <w:shd w:val="clear" w:color="auto" w:fill="FABF8F"/>
            <w:noWrap/>
            <w:vAlign w:val="center"/>
          </w:tcPr>
          <w:p w14:paraId="774A5834" w14:textId="77777777" w:rsidR="00FE0FFD" w:rsidRPr="00A83A6C" w:rsidRDefault="00FE0FFD" w:rsidP="008847FE">
            <w:pPr>
              <w:pStyle w:val="Heading5"/>
              <w:keepNext/>
              <w:spacing w:before="0" w:after="0" w:line="240" w:lineRule="auto"/>
            </w:pPr>
          </w:p>
        </w:tc>
        <w:tc>
          <w:tcPr>
            <w:tcW w:w="7920" w:type="dxa"/>
            <w:noWrap/>
          </w:tcPr>
          <w:p w14:paraId="3948A1CC" w14:textId="77777777" w:rsidR="00FE0FFD" w:rsidRPr="00A83A6C" w:rsidRDefault="00FE0FFD" w:rsidP="008847FE">
            <w:pPr>
              <w:pStyle w:val="Heading5"/>
              <w:keepNext/>
              <w:spacing w:before="0" w:after="0" w:line="240" w:lineRule="auto"/>
              <w:jc w:val="center"/>
            </w:pPr>
            <w:r w:rsidRPr="00A83A6C">
              <w:t>New</w:t>
            </w:r>
          </w:p>
        </w:tc>
      </w:tr>
      <w:tr w:rsidR="00FE0FFD" w:rsidRPr="006E3AF2" w14:paraId="305B0940" w14:textId="77777777" w:rsidTr="00FE0FFD">
        <w:tc>
          <w:tcPr>
            <w:tcW w:w="3168" w:type="dxa"/>
            <w:noWrap/>
            <w:vAlign w:val="center"/>
          </w:tcPr>
          <w:p w14:paraId="23E4C224" w14:textId="77777777" w:rsidR="00FE0FFD" w:rsidRPr="006E3AF2" w:rsidRDefault="00FE0FFD"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920" w:type="dxa"/>
            <w:noWrap/>
          </w:tcPr>
          <w:p w14:paraId="72E4032F" w14:textId="017BD210" w:rsidR="00FE0FFD" w:rsidRPr="009F029C" w:rsidRDefault="00FE0FFD" w:rsidP="001429AA">
            <w:pPr>
              <w:spacing w:line="240" w:lineRule="auto"/>
              <w:rPr>
                <w:b/>
              </w:rPr>
            </w:pPr>
            <w:bookmarkStart w:id="13" w:name="cours_title"/>
            <w:bookmarkEnd w:id="13"/>
            <w:r>
              <w:rPr>
                <w:b/>
              </w:rPr>
              <w:t>YDEV 501</w:t>
            </w:r>
          </w:p>
        </w:tc>
      </w:tr>
      <w:tr w:rsidR="00FE0FFD" w:rsidRPr="006E3AF2" w14:paraId="37592E9F" w14:textId="77777777" w:rsidTr="00FE0FFD">
        <w:tc>
          <w:tcPr>
            <w:tcW w:w="3168" w:type="dxa"/>
            <w:noWrap/>
            <w:vAlign w:val="center"/>
          </w:tcPr>
          <w:p w14:paraId="2F7EBABC" w14:textId="77777777" w:rsidR="00FE0FFD" w:rsidRPr="006E3AF2" w:rsidRDefault="00FE0FFD" w:rsidP="00013152">
            <w:pPr>
              <w:spacing w:line="240" w:lineRule="auto"/>
            </w:pPr>
            <w:r>
              <w:t>B.2. C</w:t>
            </w:r>
            <w:r w:rsidRPr="006E3AF2">
              <w:t>ross listing number</w:t>
            </w:r>
            <w:r>
              <w:t xml:space="preserve"> if any</w:t>
            </w:r>
          </w:p>
        </w:tc>
        <w:tc>
          <w:tcPr>
            <w:tcW w:w="7920" w:type="dxa"/>
            <w:noWrap/>
          </w:tcPr>
          <w:p w14:paraId="2FF72528" w14:textId="77777777" w:rsidR="00FE0FFD" w:rsidRPr="009F029C" w:rsidRDefault="00FE0FFD" w:rsidP="001429AA">
            <w:pPr>
              <w:spacing w:line="240" w:lineRule="auto"/>
              <w:rPr>
                <w:b/>
              </w:rPr>
            </w:pPr>
          </w:p>
        </w:tc>
      </w:tr>
      <w:tr w:rsidR="00FE0FFD" w:rsidRPr="006E3AF2" w14:paraId="41D21786" w14:textId="77777777" w:rsidTr="00FE0FFD">
        <w:tc>
          <w:tcPr>
            <w:tcW w:w="3168" w:type="dxa"/>
            <w:noWrap/>
            <w:vAlign w:val="center"/>
          </w:tcPr>
          <w:p w14:paraId="735E615A" w14:textId="0A3F5919" w:rsidR="00FE0FFD" w:rsidRPr="006E3AF2" w:rsidRDefault="00FE0FFD"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920" w:type="dxa"/>
            <w:noWrap/>
          </w:tcPr>
          <w:p w14:paraId="001F0A12" w14:textId="03BC1BE0" w:rsidR="00FE0FFD" w:rsidRPr="00FE0FFD" w:rsidRDefault="00FE0FFD" w:rsidP="00FE0FFD">
            <w:pPr>
              <w:spacing w:line="240" w:lineRule="auto"/>
              <w:rPr>
                <w:sz w:val="24"/>
                <w:szCs w:val="24"/>
              </w:rPr>
            </w:pPr>
            <w:bookmarkStart w:id="14" w:name="title"/>
            <w:bookmarkEnd w:id="14"/>
            <w:r>
              <w:rPr>
                <w:rFonts w:ascii="Twentieth Century" w:hAnsi="Twentieth Century"/>
                <w:b/>
                <w:bCs/>
                <w:color w:val="000000"/>
              </w:rPr>
              <w:t>YOUTH DEVELOPMENT THEORY AND PRACTICE</w:t>
            </w:r>
          </w:p>
        </w:tc>
      </w:tr>
      <w:tr w:rsidR="00FE0FFD" w:rsidRPr="006E3AF2" w14:paraId="5164065A" w14:textId="77777777" w:rsidTr="00FE0FFD">
        <w:tc>
          <w:tcPr>
            <w:tcW w:w="3168" w:type="dxa"/>
            <w:noWrap/>
            <w:vAlign w:val="center"/>
          </w:tcPr>
          <w:p w14:paraId="33DD585B" w14:textId="700A591D" w:rsidR="00FE0FFD" w:rsidRPr="006E3AF2" w:rsidRDefault="00FE0FFD"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920" w:type="dxa"/>
            <w:noWrap/>
          </w:tcPr>
          <w:p w14:paraId="2DB344D2" w14:textId="327C8D36" w:rsidR="00FE0FFD" w:rsidRPr="00FE0FFD" w:rsidRDefault="003B7E66" w:rsidP="00FE0FFD">
            <w:pPr>
              <w:spacing w:line="240" w:lineRule="auto"/>
              <w:rPr>
                <w:sz w:val="24"/>
                <w:szCs w:val="24"/>
              </w:rPr>
            </w:pPr>
            <w:bookmarkStart w:id="15" w:name="description"/>
            <w:bookmarkEnd w:id="15"/>
            <w:r>
              <w:rPr>
                <w:rFonts w:ascii="Twentieth Century" w:hAnsi="Twentieth Century"/>
                <w:color w:val="000000"/>
              </w:rPr>
              <w:t>Students will develop</w:t>
            </w:r>
            <w:r w:rsidR="00FE0FFD">
              <w:rPr>
                <w:rFonts w:ascii="Twentieth Century" w:hAnsi="Twentieth Century"/>
                <w:color w:val="000000"/>
              </w:rPr>
              <w:t xml:space="preserve"> </w:t>
            </w:r>
            <w:r>
              <w:rPr>
                <w:rFonts w:ascii="Twentieth Century" w:hAnsi="Twentieth Century"/>
                <w:color w:val="000000"/>
              </w:rPr>
              <w:t xml:space="preserve">skills and </w:t>
            </w:r>
            <w:r w:rsidR="00FE0FFD">
              <w:rPr>
                <w:rFonts w:ascii="Twentieth Century" w:hAnsi="Twentieth Century"/>
                <w:color w:val="000000"/>
              </w:rPr>
              <w:t xml:space="preserve">knowledge of </w:t>
            </w:r>
            <w:r w:rsidR="00B51957">
              <w:rPr>
                <w:rFonts w:ascii="Twentieth Century" w:hAnsi="Twentieth Century"/>
                <w:color w:val="000000"/>
              </w:rPr>
              <w:t xml:space="preserve">Youth Development </w:t>
            </w:r>
            <w:r w:rsidR="00FE0FFD">
              <w:rPr>
                <w:rFonts w:ascii="Twentieth Century" w:hAnsi="Twentieth Century"/>
                <w:color w:val="000000"/>
              </w:rPr>
              <w:t>theory, pedagogy, and practice.</w:t>
            </w:r>
          </w:p>
        </w:tc>
      </w:tr>
      <w:tr w:rsidR="00FE0FFD" w:rsidRPr="006E3AF2" w14:paraId="51F71CBF" w14:textId="77777777" w:rsidTr="00FE0FFD">
        <w:tc>
          <w:tcPr>
            <w:tcW w:w="3168" w:type="dxa"/>
            <w:noWrap/>
            <w:vAlign w:val="center"/>
          </w:tcPr>
          <w:p w14:paraId="05549147" w14:textId="77777777" w:rsidR="00FE0FFD" w:rsidRPr="006E3AF2" w:rsidRDefault="00FE0FFD"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920" w:type="dxa"/>
            <w:noWrap/>
          </w:tcPr>
          <w:p w14:paraId="350312DB" w14:textId="4E7CD851" w:rsidR="00FE0FFD" w:rsidRPr="009F029C" w:rsidRDefault="00FE0FFD" w:rsidP="001429AA">
            <w:pPr>
              <w:spacing w:line="240" w:lineRule="auto"/>
              <w:rPr>
                <w:b/>
              </w:rPr>
            </w:pPr>
            <w:bookmarkStart w:id="16" w:name="prereqs"/>
            <w:bookmarkEnd w:id="16"/>
            <w:r>
              <w:rPr>
                <w:b/>
              </w:rPr>
              <w:t>Admission to YDEV MA Program</w:t>
            </w:r>
          </w:p>
        </w:tc>
      </w:tr>
      <w:tr w:rsidR="00FE0FFD" w:rsidRPr="006E3AF2" w14:paraId="18ED5FDA" w14:textId="77777777" w:rsidTr="00FE0FFD">
        <w:tc>
          <w:tcPr>
            <w:tcW w:w="3168" w:type="dxa"/>
            <w:noWrap/>
            <w:vAlign w:val="center"/>
          </w:tcPr>
          <w:p w14:paraId="1016A647" w14:textId="66DC7F44" w:rsidR="00FE0FFD" w:rsidRPr="006E3AF2" w:rsidRDefault="00FE0FFD"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920" w:type="dxa"/>
            <w:noWrap/>
          </w:tcPr>
          <w:p w14:paraId="70575036" w14:textId="26836BFA" w:rsidR="00FE0FFD" w:rsidRPr="009F029C" w:rsidRDefault="00FE0FFD" w:rsidP="00C25F9D">
            <w:pPr>
              <w:spacing w:line="240" w:lineRule="auto"/>
              <w:rPr>
                <w:rFonts w:ascii="MS Mincho" w:eastAsia="MS Mincho" w:hAnsi="MS Mincho" w:cs="MS Mincho"/>
                <w:b/>
                <w:sz w:val="20"/>
              </w:rPr>
            </w:pPr>
            <w:r w:rsidRPr="009F029C">
              <w:rPr>
                <w:b/>
                <w:sz w:val="20"/>
              </w:rPr>
              <w:t xml:space="preserve">Fall  </w:t>
            </w:r>
          </w:p>
          <w:p w14:paraId="6E8FAD04" w14:textId="0870CCCA" w:rsidR="00FE0FFD" w:rsidRPr="009F029C" w:rsidRDefault="00FE0FFD" w:rsidP="00FE0FFD">
            <w:pPr>
              <w:spacing w:line="240" w:lineRule="auto"/>
              <w:rPr>
                <w:b/>
                <w:sz w:val="20"/>
              </w:rPr>
            </w:pPr>
            <w:r w:rsidRPr="009F029C">
              <w:rPr>
                <w:b/>
                <w:sz w:val="20"/>
              </w:rPr>
              <w:t>Annually</w:t>
            </w:r>
          </w:p>
        </w:tc>
      </w:tr>
      <w:tr w:rsidR="00FE0FFD" w:rsidRPr="006E3AF2" w14:paraId="6C9D583C" w14:textId="77777777" w:rsidTr="00FE0FFD">
        <w:tc>
          <w:tcPr>
            <w:tcW w:w="3168" w:type="dxa"/>
            <w:noWrap/>
            <w:vAlign w:val="center"/>
          </w:tcPr>
          <w:p w14:paraId="6582E929" w14:textId="77777777" w:rsidR="00FE0FFD" w:rsidRPr="006E3AF2" w:rsidRDefault="00FE0FFD"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920" w:type="dxa"/>
            <w:noWrap/>
          </w:tcPr>
          <w:p w14:paraId="790915FC" w14:textId="676AB18A" w:rsidR="00FE0FFD" w:rsidRPr="009F029C" w:rsidRDefault="005B6441" w:rsidP="001429AA">
            <w:pPr>
              <w:spacing w:line="240" w:lineRule="auto"/>
              <w:rPr>
                <w:b/>
              </w:rPr>
            </w:pPr>
            <w:bookmarkStart w:id="17" w:name="contacthours"/>
            <w:bookmarkEnd w:id="17"/>
            <w:r>
              <w:rPr>
                <w:b/>
              </w:rPr>
              <w:t>4</w:t>
            </w:r>
          </w:p>
        </w:tc>
      </w:tr>
      <w:tr w:rsidR="00FE0FFD" w:rsidRPr="006E3AF2" w14:paraId="33B99A97" w14:textId="77777777" w:rsidTr="00FE0FFD">
        <w:tc>
          <w:tcPr>
            <w:tcW w:w="3168" w:type="dxa"/>
            <w:noWrap/>
            <w:vAlign w:val="center"/>
          </w:tcPr>
          <w:p w14:paraId="6B4EE104" w14:textId="77777777" w:rsidR="00FE0FFD" w:rsidRPr="006E3AF2" w:rsidRDefault="00FE0FFD"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920" w:type="dxa"/>
            <w:noWrap/>
          </w:tcPr>
          <w:p w14:paraId="4F70C16F" w14:textId="0329F246" w:rsidR="00FE0FFD" w:rsidRPr="009F029C" w:rsidRDefault="005B6441" w:rsidP="001429AA">
            <w:pPr>
              <w:spacing w:line="240" w:lineRule="auto"/>
              <w:rPr>
                <w:b/>
              </w:rPr>
            </w:pPr>
            <w:bookmarkStart w:id="18" w:name="credits"/>
            <w:bookmarkEnd w:id="18"/>
            <w:r>
              <w:rPr>
                <w:b/>
              </w:rPr>
              <w:t>4</w:t>
            </w:r>
          </w:p>
        </w:tc>
      </w:tr>
      <w:tr w:rsidR="00FE0FFD" w:rsidRPr="006E3AF2" w14:paraId="4CBDFD46" w14:textId="77777777" w:rsidTr="00FE0FFD">
        <w:trPr>
          <w:gridAfter w:val="1"/>
          <w:wAfter w:w="7920" w:type="dxa"/>
        </w:trPr>
        <w:tc>
          <w:tcPr>
            <w:tcW w:w="3168" w:type="dxa"/>
            <w:noWrap/>
            <w:vAlign w:val="center"/>
          </w:tcPr>
          <w:p w14:paraId="726C4F78" w14:textId="75E699EC" w:rsidR="00FE0FFD" w:rsidRPr="006E3AF2" w:rsidRDefault="00FE0FFD"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19" w:name="differences"/>
        <w:bookmarkEnd w:id="19"/>
      </w:tr>
      <w:tr w:rsidR="00FE0FFD" w:rsidRPr="006E3AF2" w14:paraId="3F978964" w14:textId="77777777" w:rsidTr="00FE0FFD">
        <w:tc>
          <w:tcPr>
            <w:tcW w:w="3168" w:type="dxa"/>
            <w:noWrap/>
            <w:vAlign w:val="center"/>
          </w:tcPr>
          <w:p w14:paraId="2FAA3C00" w14:textId="77777777" w:rsidR="00FE0FFD" w:rsidRPr="006E3AF2" w:rsidRDefault="00FE0FFD"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920" w:type="dxa"/>
            <w:noWrap/>
          </w:tcPr>
          <w:p w14:paraId="32C16048" w14:textId="7B40138F" w:rsidR="00FE0FFD" w:rsidRPr="009F029C" w:rsidRDefault="00FE0FFD" w:rsidP="000357A5">
            <w:pPr>
              <w:spacing w:line="240" w:lineRule="auto"/>
              <w:rPr>
                <w:b/>
                <w:sz w:val="20"/>
              </w:rPr>
            </w:pPr>
            <w:r>
              <w:rPr>
                <w:b/>
                <w:sz w:val="20"/>
              </w:rPr>
              <w:t xml:space="preserve">Letter grade </w:t>
            </w:r>
          </w:p>
        </w:tc>
      </w:tr>
      <w:tr w:rsidR="00FE0FFD" w:rsidRPr="006E3AF2" w14:paraId="45BF3D73" w14:textId="77777777" w:rsidTr="00FE0FFD">
        <w:tc>
          <w:tcPr>
            <w:tcW w:w="3168" w:type="dxa"/>
            <w:noWrap/>
            <w:vAlign w:val="center"/>
          </w:tcPr>
          <w:p w14:paraId="337E9600" w14:textId="77777777" w:rsidR="00FE0FFD" w:rsidRPr="006E3AF2" w:rsidRDefault="00FE0FFD"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920" w:type="dxa"/>
            <w:noWrap/>
          </w:tcPr>
          <w:p w14:paraId="1FE5962F" w14:textId="1A9241E4" w:rsidR="00FE0FFD" w:rsidRPr="009F029C" w:rsidRDefault="00FE0FFD" w:rsidP="00A76B76">
            <w:pPr>
              <w:spacing w:line="240" w:lineRule="auto"/>
              <w:rPr>
                <w:b/>
                <w:sz w:val="20"/>
              </w:rPr>
            </w:pPr>
            <w:bookmarkStart w:id="20" w:name="instr_methods"/>
            <w:bookmarkEnd w:id="20"/>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w:t>
            </w:r>
            <w:r w:rsidR="00EA402A">
              <w:rPr>
                <w:b/>
                <w:sz w:val="20"/>
              </w:rPr>
              <w:t>25</w:t>
            </w:r>
            <w:hyperlink w:anchor="Online" w:tooltip="If selected, indicate the percentage of course time spent online" w:history="1">
              <w:r w:rsidR="005B6441">
                <w:rPr>
                  <w:rStyle w:val="Hyperlink"/>
                  <w:b/>
                  <w:sz w:val="20"/>
                </w:rPr>
                <w:t xml:space="preserve">% </w:t>
              </w:r>
              <w:r w:rsidRPr="00A87611">
                <w:rPr>
                  <w:rStyle w:val="Hyperlink"/>
                  <w:b/>
                  <w:sz w:val="20"/>
                </w:rPr>
                <w:t>Online</w:t>
              </w:r>
            </w:hyperlink>
            <w:r w:rsidRPr="009F029C">
              <w:rPr>
                <w:b/>
                <w:sz w:val="20"/>
              </w:rPr>
              <w:t xml:space="preserve"> </w:t>
            </w:r>
          </w:p>
        </w:tc>
      </w:tr>
      <w:tr w:rsidR="00FE0FFD" w:rsidRPr="006E3AF2" w14:paraId="627B913D" w14:textId="77777777" w:rsidTr="00FE0FFD">
        <w:tc>
          <w:tcPr>
            <w:tcW w:w="3168" w:type="dxa"/>
            <w:noWrap/>
            <w:vAlign w:val="center"/>
          </w:tcPr>
          <w:p w14:paraId="54A53D57" w14:textId="77777777" w:rsidR="00FE0FFD" w:rsidRPr="006E3AF2" w:rsidRDefault="00FE0FF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920" w:type="dxa"/>
            <w:noWrap/>
          </w:tcPr>
          <w:p w14:paraId="460254CA" w14:textId="68590F89" w:rsidR="00FE0FFD" w:rsidRPr="009F029C" w:rsidRDefault="00FE0FFD" w:rsidP="00B2320C">
            <w:pPr>
              <w:spacing w:line="240" w:lineRule="auto"/>
              <w:rPr>
                <w:b/>
                <w:sz w:val="20"/>
              </w:rPr>
            </w:pPr>
            <w:bookmarkStart w:id="21" w:name="required"/>
            <w:bookmarkEnd w:id="21"/>
            <w:r w:rsidRPr="009F029C">
              <w:rPr>
                <w:b/>
                <w:sz w:val="20"/>
              </w:rPr>
              <w:t xml:space="preserve">Required for </w:t>
            </w:r>
            <w:r>
              <w:rPr>
                <w:b/>
                <w:sz w:val="20"/>
              </w:rPr>
              <w:t>program</w:t>
            </w:r>
            <w:r w:rsidRPr="009F029C">
              <w:rPr>
                <w:b/>
                <w:sz w:val="20"/>
              </w:rPr>
              <w:t xml:space="preserve">  </w:t>
            </w:r>
          </w:p>
        </w:tc>
      </w:tr>
      <w:tr w:rsidR="00FE0FFD" w:rsidRPr="006E3AF2" w14:paraId="5D768306" w14:textId="77777777" w:rsidTr="00FE0FFD">
        <w:tc>
          <w:tcPr>
            <w:tcW w:w="3168" w:type="dxa"/>
            <w:noWrap/>
            <w:vAlign w:val="center"/>
          </w:tcPr>
          <w:p w14:paraId="387754FB" w14:textId="7EC1B218" w:rsidR="00FE0FFD" w:rsidRPr="006E3AF2" w:rsidRDefault="00FE0FFD"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920" w:type="dxa"/>
            <w:noWrap/>
          </w:tcPr>
          <w:p w14:paraId="2896F61E" w14:textId="3BB5F0EF" w:rsidR="00FE0FFD" w:rsidRPr="009F029C" w:rsidRDefault="00FE0FFD" w:rsidP="0027634D">
            <w:pPr>
              <w:spacing w:line="240" w:lineRule="auto"/>
              <w:rPr>
                <w:rFonts w:ascii="MS Mincho" w:eastAsia="MS Mincho" w:hAnsi="MS Mincho" w:cs="MS Mincho"/>
                <w:b/>
                <w:sz w:val="20"/>
              </w:rPr>
            </w:pPr>
            <w:bookmarkStart w:id="22" w:name="performance"/>
            <w:bookmarkEnd w:id="22"/>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Pr>
                <w:b/>
                <w:sz w:val="20"/>
              </w:rPr>
              <w:t xml:space="preserve">Fieldwork |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BA0A8BE" w14:textId="09F3C764" w:rsidR="00FE0FFD" w:rsidRPr="009F029C" w:rsidRDefault="00FE0FFD" w:rsidP="005B6441">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r w:rsidR="005B6441">
              <w:rPr>
                <w:b/>
                <w:sz w:val="20"/>
              </w:rPr>
              <w:t>Youth Work Reflective Practice Analysis</w:t>
            </w:r>
          </w:p>
        </w:tc>
      </w:tr>
      <w:tr w:rsidR="00FE0FFD" w:rsidRPr="006E3AF2" w14:paraId="72B2A61B" w14:textId="77777777" w:rsidTr="00FE0FFD">
        <w:tc>
          <w:tcPr>
            <w:tcW w:w="3168" w:type="dxa"/>
            <w:noWrap/>
            <w:vAlign w:val="center"/>
          </w:tcPr>
          <w:p w14:paraId="268D5CB7" w14:textId="73707DDB" w:rsidR="00FE0FFD" w:rsidRPr="006E3AF2" w:rsidRDefault="00FE0FFD"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920" w:type="dxa"/>
            <w:noWrap/>
          </w:tcPr>
          <w:p w14:paraId="36AF007E" w14:textId="68350391" w:rsidR="00FE0FFD" w:rsidRPr="009F029C" w:rsidRDefault="005B6441" w:rsidP="001429AA">
            <w:pPr>
              <w:spacing w:line="240" w:lineRule="auto"/>
              <w:rPr>
                <w:b/>
              </w:rPr>
            </w:pPr>
            <w:bookmarkStart w:id="23" w:name="competing"/>
            <w:bookmarkEnd w:id="23"/>
            <w:r>
              <w:rPr>
                <w:b/>
              </w:rPr>
              <w:t>N/A</w:t>
            </w:r>
          </w:p>
        </w:tc>
      </w:tr>
      <w:tr w:rsidR="00FE0FFD" w:rsidRPr="006E3AF2" w14:paraId="02198359" w14:textId="77777777" w:rsidTr="00FE0FFD">
        <w:trPr>
          <w:gridAfter w:val="1"/>
          <w:wAfter w:w="7920" w:type="dxa"/>
        </w:trPr>
        <w:tc>
          <w:tcPr>
            <w:tcW w:w="3168" w:type="dxa"/>
            <w:noWrap/>
            <w:vAlign w:val="center"/>
          </w:tcPr>
          <w:p w14:paraId="4A9B4CD3" w14:textId="2956B19A" w:rsidR="00FE0FFD" w:rsidRPr="006E3AF2" w:rsidRDefault="00FE0FFD"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4"/>
        <w:gridCol w:w="1703"/>
        <w:gridCol w:w="4663"/>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F815CF"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F815CF"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513DD45B" w14:textId="77777777" w:rsidR="005B6441" w:rsidRDefault="005B6441" w:rsidP="005B6441">
            <w:pPr>
              <w:spacing w:line="240" w:lineRule="auto"/>
              <w:rPr>
                <w:sz w:val="24"/>
                <w:szCs w:val="24"/>
              </w:rPr>
            </w:pPr>
            <w:bookmarkStart w:id="24" w:name="outcomes"/>
            <w:bookmarkEnd w:id="24"/>
            <w:r>
              <w:rPr>
                <w:rFonts w:ascii="Twentieth Century" w:hAnsi="Twentieth Century"/>
                <w:color w:val="000000"/>
              </w:rPr>
              <w:t>Understand the multiple constructs of childhood (social, medical, cultural, developmental, historical), recognizing that across and within societies, there is no agreement on what constitutes childhood or when it ends.</w:t>
            </w:r>
          </w:p>
          <w:p w14:paraId="1571C712" w14:textId="77777777" w:rsidR="00F64260" w:rsidRDefault="00F64260">
            <w:pPr>
              <w:spacing w:line="240" w:lineRule="auto"/>
            </w:pPr>
          </w:p>
        </w:tc>
        <w:tc>
          <w:tcPr>
            <w:tcW w:w="1710" w:type="dxa"/>
          </w:tcPr>
          <w:p w14:paraId="48EEBF8B" w14:textId="77777777" w:rsidR="00F64260" w:rsidRDefault="00F64260">
            <w:pPr>
              <w:spacing w:line="240" w:lineRule="auto"/>
            </w:pPr>
            <w:bookmarkStart w:id="25" w:name="standards"/>
            <w:bookmarkEnd w:id="25"/>
          </w:p>
        </w:tc>
        <w:tc>
          <w:tcPr>
            <w:tcW w:w="4788" w:type="dxa"/>
          </w:tcPr>
          <w:p w14:paraId="62A90778" w14:textId="59DDF6FB" w:rsidR="001F62F4" w:rsidRDefault="001F62F4" w:rsidP="001F62F4">
            <w:pPr>
              <w:spacing w:line="240" w:lineRule="auto"/>
            </w:pPr>
            <w:bookmarkStart w:id="26" w:name="measured"/>
            <w:bookmarkEnd w:id="26"/>
            <w:r>
              <w:t>Class discussions + interactive activities</w:t>
            </w:r>
          </w:p>
          <w:p w14:paraId="09907D0F" w14:textId="77777777" w:rsidR="001F62F4" w:rsidRDefault="001F62F4" w:rsidP="001F62F4">
            <w:pPr>
              <w:spacing w:line="240" w:lineRule="auto"/>
            </w:pPr>
            <w:r>
              <w:t>Group facilitation</w:t>
            </w:r>
          </w:p>
          <w:p w14:paraId="071A6299" w14:textId="77777777" w:rsidR="001F62F4" w:rsidRDefault="001F62F4" w:rsidP="001F62F4">
            <w:pPr>
              <w:spacing w:line="240" w:lineRule="auto"/>
            </w:pPr>
            <w:r>
              <w:t>Blog posts</w:t>
            </w:r>
          </w:p>
          <w:p w14:paraId="0A370311" w14:textId="77777777" w:rsidR="00F64260" w:rsidRDefault="00F64260">
            <w:pPr>
              <w:spacing w:line="240" w:lineRule="auto"/>
            </w:pPr>
          </w:p>
        </w:tc>
      </w:tr>
      <w:tr w:rsidR="00F64260" w14:paraId="73043584" w14:textId="77777777">
        <w:trPr>
          <w:cantSplit/>
        </w:trPr>
        <w:tc>
          <w:tcPr>
            <w:tcW w:w="4518" w:type="dxa"/>
          </w:tcPr>
          <w:p w14:paraId="610B35E3" w14:textId="77777777" w:rsidR="005B6441" w:rsidRDefault="005B6441" w:rsidP="005B6441">
            <w:pPr>
              <w:spacing w:line="240" w:lineRule="auto"/>
              <w:rPr>
                <w:sz w:val="24"/>
                <w:szCs w:val="24"/>
              </w:rPr>
            </w:pPr>
            <w:r>
              <w:rPr>
                <w:rFonts w:ascii="Twentieth Century" w:hAnsi="Twentieth Century"/>
                <w:color w:val="000000"/>
              </w:rPr>
              <w:t>Develop familiarity with major youth development ideologies including: Risk + Resiliency, Positive, Civic, and Social Justice; and the five Anchors of YDEV @ RIC: Identity, Purposeful Play, Care, Leading With and Social Justice.</w:t>
            </w:r>
          </w:p>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3932A17D" w14:textId="4BE55BD4" w:rsidR="001F62F4" w:rsidRDefault="001F62F4" w:rsidP="001F62F4">
            <w:pPr>
              <w:spacing w:line="240" w:lineRule="auto"/>
            </w:pPr>
            <w:r>
              <w:t>Class discussions + interactive activities</w:t>
            </w:r>
          </w:p>
          <w:p w14:paraId="666A0B5B" w14:textId="77777777" w:rsidR="001F62F4" w:rsidRDefault="001F62F4" w:rsidP="001F62F4">
            <w:pPr>
              <w:spacing w:line="240" w:lineRule="auto"/>
            </w:pPr>
            <w:r>
              <w:t>Group facilitation</w:t>
            </w:r>
          </w:p>
          <w:p w14:paraId="0D427ED3" w14:textId="77777777" w:rsidR="001F62F4" w:rsidRDefault="001F62F4" w:rsidP="001F62F4">
            <w:pPr>
              <w:spacing w:line="240" w:lineRule="auto"/>
            </w:pPr>
            <w:r>
              <w:t>Blog posts</w:t>
            </w:r>
          </w:p>
          <w:p w14:paraId="57FBD416" w14:textId="0FD4C433" w:rsidR="00F64260" w:rsidRDefault="001F62F4">
            <w:pPr>
              <w:spacing w:line="240" w:lineRule="auto"/>
            </w:pPr>
            <w:r>
              <w:t>Creative project</w:t>
            </w:r>
          </w:p>
        </w:tc>
      </w:tr>
      <w:tr w:rsidR="00F64260" w14:paraId="373F39F0" w14:textId="77777777">
        <w:trPr>
          <w:cantSplit/>
        </w:trPr>
        <w:tc>
          <w:tcPr>
            <w:tcW w:w="4518" w:type="dxa"/>
          </w:tcPr>
          <w:p w14:paraId="424ED0F3" w14:textId="77777777" w:rsidR="005B6441" w:rsidRDefault="005B6441" w:rsidP="005B6441">
            <w:pPr>
              <w:spacing w:line="240" w:lineRule="auto"/>
              <w:rPr>
                <w:sz w:val="24"/>
                <w:szCs w:val="24"/>
              </w:rPr>
            </w:pPr>
            <w:r>
              <w:rPr>
                <w:rFonts w:ascii="Twentieth Century" w:hAnsi="Twentieth Century"/>
                <w:color w:val="000000"/>
              </w:rPr>
              <w:t>Understand the history, pedagogies, and current frameworks for youth development.</w:t>
            </w:r>
          </w:p>
          <w:p w14:paraId="03860DE1" w14:textId="77777777" w:rsidR="00F64260" w:rsidRDefault="00F64260" w:rsidP="005B6441">
            <w:pPr>
              <w:spacing w:line="240" w:lineRule="auto"/>
              <w:ind w:firstLine="288"/>
            </w:pPr>
          </w:p>
        </w:tc>
        <w:tc>
          <w:tcPr>
            <w:tcW w:w="1710" w:type="dxa"/>
          </w:tcPr>
          <w:p w14:paraId="48CF2D35" w14:textId="77777777" w:rsidR="00F64260" w:rsidRDefault="00F64260">
            <w:pPr>
              <w:spacing w:line="240" w:lineRule="auto"/>
            </w:pPr>
          </w:p>
        </w:tc>
        <w:tc>
          <w:tcPr>
            <w:tcW w:w="4788" w:type="dxa"/>
          </w:tcPr>
          <w:p w14:paraId="7F518E32" w14:textId="4ABDAC39" w:rsidR="00F64260" w:rsidRDefault="001F62F4" w:rsidP="00AE7A3D">
            <w:pPr>
              <w:spacing w:line="240" w:lineRule="auto"/>
            </w:pPr>
            <w:r>
              <w:t>Class discussions + interactive activities</w:t>
            </w:r>
          </w:p>
          <w:p w14:paraId="49E348B6" w14:textId="2F694F73" w:rsidR="001F62F4" w:rsidRDefault="001F62F4" w:rsidP="00AE7A3D">
            <w:pPr>
              <w:spacing w:line="240" w:lineRule="auto"/>
            </w:pPr>
            <w:r>
              <w:t>Group facilitation</w:t>
            </w:r>
          </w:p>
          <w:p w14:paraId="2905F8EC" w14:textId="77777777" w:rsidR="001F62F4" w:rsidRDefault="001F62F4" w:rsidP="00AE7A3D">
            <w:pPr>
              <w:spacing w:line="240" w:lineRule="auto"/>
            </w:pPr>
            <w:r>
              <w:t>Blog posts</w:t>
            </w:r>
          </w:p>
          <w:p w14:paraId="4F061422" w14:textId="652B5185" w:rsidR="001F62F4" w:rsidRDefault="001F62F4" w:rsidP="00AE7A3D">
            <w:pPr>
              <w:spacing w:line="240" w:lineRule="auto"/>
            </w:pPr>
          </w:p>
        </w:tc>
      </w:tr>
      <w:tr w:rsidR="005B6441" w14:paraId="44DB19B2" w14:textId="77777777">
        <w:trPr>
          <w:cantSplit/>
        </w:trPr>
        <w:tc>
          <w:tcPr>
            <w:tcW w:w="4518" w:type="dxa"/>
          </w:tcPr>
          <w:p w14:paraId="556E24E8" w14:textId="4FBD1FF4" w:rsidR="005B6441" w:rsidRDefault="005B6441" w:rsidP="005B6441">
            <w:pPr>
              <w:spacing w:line="240" w:lineRule="auto"/>
              <w:rPr>
                <w:sz w:val="24"/>
                <w:szCs w:val="24"/>
              </w:rPr>
            </w:pPr>
            <w:r>
              <w:rPr>
                <w:rFonts w:ascii="Twentieth Century" w:hAnsi="Twentieth Century"/>
                <w:color w:val="000000"/>
              </w:rPr>
              <w:t>Document, analyze, and reflect on personal and peer daily youth work practice.</w:t>
            </w:r>
          </w:p>
          <w:p w14:paraId="1695C71E" w14:textId="3DC5084F" w:rsidR="005B6441" w:rsidRDefault="005B6441" w:rsidP="005B6441">
            <w:pPr>
              <w:tabs>
                <w:tab w:val="left" w:pos="636"/>
              </w:tabs>
              <w:spacing w:line="240" w:lineRule="auto"/>
            </w:pPr>
          </w:p>
        </w:tc>
        <w:tc>
          <w:tcPr>
            <w:tcW w:w="1710" w:type="dxa"/>
          </w:tcPr>
          <w:p w14:paraId="0B049042" w14:textId="77777777" w:rsidR="005B6441" w:rsidRDefault="005B6441">
            <w:pPr>
              <w:spacing w:line="240" w:lineRule="auto"/>
            </w:pPr>
          </w:p>
        </w:tc>
        <w:tc>
          <w:tcPr>
            <w:tcW w:w="4788" w:type="dxa"/>
          </w:tcPr>
          <w:p w14:paraId="2B750277" w14:textId="77777777" w:rsidR="005B6441" w:rsidRDefault="001F62F4" w:rsidP="00AE7A3D">
            <w:pPr>
              <w:spacing w:line="240" w:lineRule="auto"/>
            </w:pPr>
            <w:r>
              <w:t>Reflective practice analysis</w:t>
            </w:r>
          </w:p>
          <w:p w14:paraId="491EFCF5" w14:textId="42EC53A4" w:rsidR="001F62F4" w:rsidRDefault="001F62F4" w:rsidP="00AE7A3D">
            <w:pPr>
              <w:spacing w:line="240" w:lineRule="auto"/>
            </w:pPr>
          </w:p>
        </w:tc>
      </w:tr>
      <w:tr w:rsidR="005B6441" w14:paraId="72D85A4E" w14:textId="77777777">
        <w:trPr>
          <w:cantSplit/>
        </w:trPr>
        <w:tc>
          <w:tcPr>
            <w:tcW w:w="4518" w:type="dxa"/>
          </w:tcPr>
          <w:p w14:paraId="06CBDD41" w14:textId="77777777" w:rsidR="005B6441" w:rsidRDefault="005B6441" w:rsidP="005B6441">
            <w:pPr>
              <w:spacing w:line="240" w:lineRule="auto"/>
              <w:rPr>
                <w:sz w:val="24"/>
                <w:szCs w:val="24"/>
              </w:rPr>
            </w:pPr>
            <w:r>
              <w:rPr>
                <w:rFonts w:ascii="Twentieth Century" w:hAnsi="Twentieth Century"/>
                <w:color w:val="000000"/>
              </w:rPr>
              <w:lastRenderedPageBreak/>
              <w:t>Articulate a philosophy of youth development practice, rooted in ideologies, anchors, identity and social location.</w:t>
            </w:r>
          </w:p>
          <w:p w14:paraId="1CC0610D" w14:textId="77777777" w:rsidR="005B6441" w:rsidRDefault="005B6441">
            <w:pPr>
              <w:spacing w:line="240" w:lineRule="auto"/>
            </w:pPr>
          </w:p>
        </w:tc>
        <w:tc>
          <w:tcPr>
            <w:tcW w:w="1710" w:type="dxa"/>
          </w:tcPr>
          <w:p w14:paraId="1B5801C6" w14:textId="77777777" w:rsidR="005B6441" w:rsidRDefault="005B6441">
            <w:pPr>
              <w:spacing w:line="240" w:lineRule="auto"/>
            </w:pPr>
          </w:p>
        </w:tc>
        <w:tc>
          <w:tcPr>
            <w:tcW w:w="4788" w:type="dxa"/>
          </w:tcPr>
          <w:p w14:paraId="7C5602F4" w14:textId="17A159C2" w:rsidR="005B6441" w:rsidRDefault="001F62F4" w:rsidP="00AE7A3D">
            <w:pPr>
              <w:spacing w:line="240" w:lineRule="auto"/>
            </w:pPr>
            <w:r>
              <w:t>Class discussions + interactive activities</w:t>
            </w:r>
          </w:p>
          <w:p w14:paraId="73AFDC4D" w14:textId="77777777" w:rsidR="001F62F4" w:rsidRDefault="001F62F4" w:rsidP="00AE7A3D">
            <w:pPr>
              <w:spacing w:line="240" w:lineRule="auto"/>
            </w:pPr>
            <w:r>
              <w:t>Blog posts</w:t>
            </w:r>
          </w:p>
          <w:p w14:paraId="1A48B870" w14:textId="63616BE4" w:rsidR="001F62F4" w:rsidRDefault="001F62F4" w:rsidP="00AE7A3D">
            <w:pPr>
              <w:spacing w:line="240" w:lineRule="auto"/>
            </w:pPr>
            <w:r>
              <w:t>Creative project</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2042830C" w14:textId="77777777" w:rsidR="005B6441" w:rsidRDefault="005B6441" w:rsidP="005B6441">
            <w:pPr>
              <w:pStyle w:val="NormalWeb"/>
              <w:numPr>
                <w:ilvl w:val="0"/>
                <w:numId w:val="18"/>
              </w:numPr>
              <w:spacing w:before="0" w:beforeAutospacing="0" w:after="0" w:afterAutospacing="0"/>
            </w:pPr>
            <w:bookmarkStart w:id="27" w:name="outline"/>
            <w:bookmarkEnd w:id="27"/>
            <w:r>
              <w:rPr>
                <w:rFonts w:ascii="Twentieth Century" w:hAnsi="Twentieth Century"/>
                <w:color w:val="222222"/>
              </w:rPr>
              <w:t>Constructions of Childhood</w:t>
            </w:r>
          </w:p>
          <w:p w14:paraId="32AA19FC"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Social</w:t>
            </w:r>
          </w:p>
          <w:p w14:paraId="42B39BFC"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Historical</w:t>
            </w:r>
          </w:p>
          <w:p w14:paraId="7F73D84D"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Cultural</w:t>
            </w:r>
          </w:p>
          <w:p w14:paraId="1A3E064C"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Legal</w:t>
            </w:r>
          </w:p>
          <w:p w14:paraId="5884630E"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Developmental</w:t>
            </w:r>
          </w:p>
          <w:p w14:paraId="69D8FAEE"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Critical (childhood studies)</w:t>
            </w:r>
          </w:p>
          <w:p w14:paraId="441F7D6A"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As shaped by power, identity and social location (including race, class, gender, sexuality, language, and immigration status)</w:t>
            </w:r>
          </w:p>
          <w:p w14:paraId="071B1624" w14:textId="77777777" w:rsidR="005B6441" w:rsidRDefault="005B6441" w:rsidP="005B6441">
            <w:pPr>
              <w:rPr>
                <w:rFonts w:ascii="Times New Roman" w:hAnsi="Times New Roman"/>
              </w:rPr>
            </w:pPr>
          </w:p>
          <w:p w14:paraId="352D1342" w14:textId="77777777" w:rsidR="005B6441" w:rsidRDefault="005B6441" w:rsidP="005B6441">
            <w:pPr>
              <w:pStyle w:val="NormalWeb"/>
              <w:numPr>
                <w:ilvl w:val="0"/>
                <w:numId w:val="18"/>
              </w:numPr>
              <w:spacing w:before="0" w:beforeAutospacing="0" w:after="0" w:afterAutospacing="0"/>
            </w:pPr>
            <w:r>
              <w:rPr>
                <w:rFonts w:ascii="Twentieth Century" w:hAnsi="Twentieth Century"/>
                <w:color w:val="222222"/>
              </w:rPr>
              <w:t>History of Youth Development</w:t>
            </w:r>
          </w:p>
          <w:p w14:paraId="1D489CF3"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Early Youth Work in the United States</w:t>
            </w:r>
          </w:p>
          <w:p w14:paraId="05B9E52E"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 xml:space="preserve">Global Youth Development </w:t>
            </w:r>
          </w:p>
          <w:p w14:paraId="4799D374"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Evolving study and science of youth work</w:t>
            </w:r>
          </w:p>
          <w:p w14:paraId="7351D664" w14:textId="295E252F"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Youth Development in Rhode Island</w:t>
            </w:r>
            <w:r w:rsidR="003B7E66">
              <w:rPr>
                <w:rFonts w:ascii="Twentieth Century" w:hAnsi="Twentieth Century"/>
                <w:color w:val="222222"/>
              </w:rPr>
              <w:t xml:space="preserve"> + New England</w:t>
            </w:r>
            <w:r>
              <w:rPr>
                <w:rFonts w:ascii="Twentieth Century" w:hAnsi="Twentieth Century"/>
                <w:color w:val="222222"/>
              </w:rPr>
              <w:t xml:space="preserve"> (history + present)</w:t>
            </w:r>
          </w:p>
          <w:p w14:paraId="259A9E96" w14:textId="77777777" w:rsidR="005B6441" w:rsidRDefault="005B6441" w:rsidP="005B6441">
            <w:pPr>
              <w:rPr>
                <w:rFonts w:ascii="Times New Roman" w:hAnsi="Times New Roman"/>
              </w:rPr>
            </w:pPr>
          </w:p>
          <w:p w14:paraId="37C29578" w14:textId="77777777" w:rsidR="005B6441" w:rsidRDefault="005B6441" w:rsidP="005B6441">
            <w:pPr>
              <w:pStyle w:val="NormalWeb"/>
              <w:numPr>
                <w:ilvl w:val="0"/>
                <w:numId w:val="18"/>
              </w:numPr>
              <w:spacing w:before="0" w:beforeAutospacing="0" w:after="0" w:afterAutospacing="0"/>
            </w:pPr>
            <w:r>
              <w:rPr>
                <w:rFonts w:ascii="Twentieth Century" w:hAnsi="Twentieth Century"/>
                <w:color w:val="222222"/>
              </w:rPr>
              <w:t>Pedagogy and Practice in Youth Work</w:t>
            </w:r>
          </w:p>
          <w:p w14:paraId="3EECE02E"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Experiential learning</w:t>
            </w:r>
          </w:p>
          <w:p w14:paraId="20611868"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Universal design (disability studies)</w:t>
            </w:r>
          </w:p>
          <w:p w14:paraId="47F22380"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 xml:space="preserve">YDEV with emergent bilinguals </w:t>
            </w:r>
          </w:p>
          <w:p w14:paraId="2F48B78C"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Critical pedagogy</w:t>
            </w:r>
          </w:p>
          <w:p w14:paraId="13B64BBB"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Social-Emotional Learning</w:t>
            </w:r>
          </w:p>
          <w:p w14:paraId="5383FE8D"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Models of youth leadership + democratic practice</w:t>
            </w:r>
          </w:p>
          <w:p w14:paraId="09C95B37" w14:textId="77777777" w:rsidR="005B6441" w:rsidRDefault="005B6441" w:rsidP="005B6441">
            <w:pPr>
              <w:rPr>
                <w:rFonts w:ascii="Times New Roman" w:hAnsi="Times New Roman"/>
              </w:rPr>
            </w:pPr>
          </w:p>
          <w:p w14:paraId="0CBD075A" w14:textId="77777777" w:rsidR="005B6441" w:rsidRDefault="005B6441" w:rsidP="005B6441">
            <w:pPr>
              <w:pStyle w:val="NormalWeb"/>
              <w:numPr>
                <w:ilvl w:val="0"/>
                <w:numId w:val="18"/>
              </w:numPr>
              <w:spacing w:before="0" w:beforeAutospacing="0" w:after="0" w:afterAutospacing="0"/>
            </w:pPr>
            <w:r>
              <w:rPr>
                <w:rFonts w:ascii="Twentieth Century" w:hAnsi="Twentieth Century"/>
                <w:color w:val="222222"/>
              </w:rPr>
              <w:t>Contemporary Theories, Ideologies, and Practices of Youth Development</w:t>
            </w:r>
          </w:p>
          <w:p w14:paraId="4ACFCE47"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Youth Development today: funding and framing</w:t>
            </w:r>
          </w:p>
          <w:p w14:paraId="212957AE" w14:textId="77777777" w:rsidR="005B6441" w:rsidRDefault="005B6441" w:rsidP="005B6441">
            <w:pPr>
              <w:pStyle w:val="NormalWeb"/>
              <w:numPr>
                <w:ilvl w:val="1"/>
                <w:numId w:val="18"/>
              </w:numPr>
              <w:spacing w:before="0" w:beforeAutospacing="0" w:after="0" w:afterAutospacing="0"/>
              <w:textAlignment w:val="baseline"/>
              <w:rPr>
                <w:color w:val="222222"/>
              </w:rPr>
            </w:pPr>
            <w:r>
              <w:rPr>
                <w:rFonts w:ascii="Twentieth Century" w:hAnsi="Twentieth Century"/>
                <w:color w:val="222222"/>
              </w:rPr>
              <w:t>Dismantling racism and social oppression in YDEV</w:t>
            </w:r>
          </w:p>
          <w:p w14:paraId="4A15788A" w14:textId="77777777" w:rsidR="005B6441" w:rsidRDefault="005B6441" w:rsidP="005B6441">
            <w:pPr>
              <w:pStyle w:val="NormalWeb"/>
              <w:numPr>
                <w:ilvl w:val="1"/>
                <w:numId w:val="18"/>
              </w:numPr>
              <w:spacing w:before="0" w:beforeAutospacing="0" w:after="0" w:afterAutospacing="0"/>
              <w:textAlignment w:val="baseline"/>
              <w:rPr>
                <w:color w:val="222222"/>
              </w:rPr>
            </w:pPr>
            <w:r>
              <w:rPr>
                <w:rFonts w:ascii="Twentieth Century" w:hAnsi="Twentieth Century"/>
                <w:color w:val="222222"/>
              </w:rPr>
              <w:t xml:space="preserve">YDEV Ideologies: </w:t>
            </w:r>
            <w:r>
              <w:rPr>
                <w:rFonts w:ascii="Twentieth Century" w:hAnsi="Twentieth Century"/>
                <w:color w:val="000000"/>
              </w:rPr>
              <w:t>Risk + Resiliency, Positive, Civic, and Social Justice</w:t>
            </w:r>
          </w:p>
          <w:p w14:paraId="34BE272A"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000000"/>
              </w:rPr>
            </w:pPr>
            <w:r>
              <w:rPr>
                <w:rFonts w:ascii="Twentieth Century" w:hAnsi="Twentieth Century"/>
                <w:color w:val="000000"/>
              </w:rPr>
              <w:t>YDEV Anchors: Identity, Purposeful Play, Care, Leading With and Social Justice</w:t>
            </w:r>
          </w:p>
          <w:p w14:paraId="7DF158B6" w14:textId="77777777" w:rsidR="005B6441" w:rsidRDefault="005B6441" w:rsidP="005B6441">
            <w:pPr>
              <w:rPr>
                <w:rFonts w:ascii="Times New Roman" w:hAnsi="Times New Roman"/>
              </w:rPr>
            </w:pPr>
          </w:p>
          <w:p w14:paraId="2EE531E2" w14:textId="77777777" w:rsidR="005B6441" w:rsidRDefault="005B6441" w:rsidP="005B6441">
            <w:pPr>
              <w:pStyle w:val="NormalWeb"/>
              <w:numPr>
                <w:ilvl w:val="0"/>
                <w:numId w:val="18"/>
              </w:numPr>
              <w:spacing w:before="0" w:beforeAutospacing="0" w:after="0" w:afterAutospacing="0"/>
            </w:pPr>
            <w:r>
              <w:rPr>
                <w:rFonts w:ascii="Twentieth Century" w:hAnsi="Twentieth Century"/>
                <w:color w:val="222222"/>
              </w:rPr>
              <w:t>Reflective Practice</w:t>
            </w:r>
          </w:p>
          <w:p w14:paraId="29B77701"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Tools for reflective practice</w:t>
            </w:r>
          </w:p>
          <w:p w14:paraId="7E5D3B46"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Participatory Action Research in Youth Development</w:t>
            </w:r>
          </w:p>
          <w:p w14:paraId="59B7EB6F"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Identities in Youth Development: reflecting on identity and social location</w:t>
            </w:r>
          </w:p>
          <w:p w14:paraId="7FCFD6AA" w14:textId="77777777" w:rsid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Pedagogical Practice Improvement Model (Mellow et al. 2015)</w:t>
            </w:r>
          </w:p>
          <w:p w14:paraId="0AB31323" w14:textId="23D6DE41" w:rsidR="00C629CB" w:rsidRPr="005B6441" w:rsidRDefault="005B6441" w:rsidP="005B6441">
            <w:pPr>
              <w:pStyle w:val="NormalWeb"/>
              <w:numPr>
                <w:ilvl w:val="1"/>
                <w:numId w:val="18"/>
              </w:numPr>
              <w:spacing w:before="0" w:beforeAutospacing="0" w:after="0" w:afterAutospacing="0"/>
              <w:textAlignment w:val="baseline"/>
              <w:rPr>
                <w:rFonts w:ascii="Twentieth Century" w:hAnsi="Twentieth Century"/>
                <w:color w:val="222222"/>
              </w:rPr>
            </w:pPr>
            <w:r>
              <w:rPr>
                <w:rFonts w:ascii="Twentieth Century" w:hAnsi="Twentieth Century"/>
                <w:color w:val="222222"/>
              </w:rPr>
              <w:t>Dilemmas of Practice in Youth Development</w:t>
            </w:r>
          </w:p>
        </w:tc>
      </w:tr>
    </w:tbl>
    <w:p w14:paraId="2480EEC2" w14:textId="39B62B15"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rsidTr="003B7E66">
        <w:trPr>
          <w:cantSplit/>
          <w:tblHeader/>
        </w:trPr>
        <w:tc>
          <w:tcPr>
            <w:tcW w:w="3172"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8" w:name="_Signature"/>
        <w:bookmarkEnd w:id="28"/>
        <w:tc>
          <w:tcPr>
            <w:tcW w:w="3194"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03B126DA" w14:textId="77777777" w:rsidR="00F64260" w:rsidRPr="00A83A6C" w:rsidRDefault="00F64260" w:rsidP="00310D95">
            <w:pPr>
              <w:pStyle w:val="Heading5"/>
              <w:jc w:val="center"/>
            </w:pPr>
            <w:r w:rsidRPr="00A83A6C">
              <w:t>Date</w:t>
            </w:r>
          </w:p>
        </w:tc>
      </w:tr>
      <w:tr w:rsidR="001F62F4" w14:paraId="3BE222E3" w14:textId="77777777" w:rsidTr="003B7E66">
        <w:trPr>
          <w:cantSplit/>
          <w:trHeight w:val="489"/>
        </w:trPr>
        <w:tc>
          <w:tcPr>
            <w:tcW w:w="3172" w:type="dxa"/>
            <w:vAlign w:val="center"/>
          </w:tcPr>
          <w:p w14:paraId="4178201C" w14:textId="58E8435F" w:rsidR="001F62F4" w:rsidRDefault="001F62F4" w:rsidP="001F62F4">
            <w:pPr>
              <w:spacing w:line="240" w:lineRule="auto"/>
            </w:pPr>
            <w:r>
              <w:t>Victoria Restler</w:t>
            </w:r>
          </w:p>
        </w:tc>
        <w:tc>
          <w:tcPr>
            <w:tcW w:w="3254" w:type="dxa"/>
            <w:vAlign w:val="center"/>
          </w:tcPr>
          <w:p w14:paraId="3874B8F9" w14:textId="2D75428F" w:rsidR="001F62F4" w:rsidRDefault="001F62F4" w:rsidP="001F62F4">
            <w:pPr>
              <w:spacing w:line="240" w:lineRule="auto"/>
            </w:pPr>
            <w:r>
              <w:t>Program Director of Youth Development MA</w:t>
            </w:r>
          </w:p>
        </w:tc>
        <w:tc>
          <w:tcPr>
            <w:tcW w:w="3194" w:type="dxa"/>
            <w:vAlign w:val="center"/>
          </w:tcPr>
          <w:p w14:paraId="70E90A63" w14:textId="77777777" w:rsidR="001F62F4" w:rsidRDefault="001F62F4" w:rsidP="001F62F4">
            <w:pPr>
              <w:spacing w:line="240" w:lineRule="auto"/>
            </w:pPr>
          </w:p>
        </w:tc>
        <w:tc>
          <w:tcPr>
            <w:tcW w:w="1160" w:type="dxa"/>
            <w:vAlign w:val="center"/>
          </w:tcPr>
          <w:p w14:paraId="37406151" w14:textId="77777777" w:rsidR="001F62F4" w:rsidRDefault="001F62F4" w:rsidP="001F62F4">
            <w:pPr>
              <w:spacing w:line="240" w:lineRule="auto"/>
            </w:pPr>
          </w:p>
        </w:tc>
      </w:tr>
      <w:tr w:rsidR="001F62F4" w14:paraId="0072B50B" w14:textId="77777777" w:rsidTr="003B7E66">
        <w:trPr>
          <w:cantSplit/>
          <w:trHeight w:val="489"/>
        </w:trPr>
        <w:tc>
          <w:tcPr>
            <w:tcW w:w="3172" w:type="dxa"/>
            <w:vAlign w:val="center"/>
          </w:tcPr>
          <w:p w14:paraId="6D613CB9" w14:textId="06874277" w:rsidR="001F62F4" w:rsidRDefault="001F62F4" w:rsidP="001F62F4">
            <w:pPr>
              <w:spacing w:line="240" w:lineRule="auto"/>
            </w:pPr>
            <w:r>
              <w:t>Lesley Bogad</w:t>
            </w:r>
          </w:p>
        </w:tc>
        <w:tc>
          <w:tcPr>
            <w:tcW w:w="3254" w:type="dxa"/>
            <w:vAlign w:val="center"/>
          </w:tcPr>
          <w:p w14:paraId="46637261" w14:textId="39C90F7E" w:rsidR="001F62F4" w:rsidRDefault="001F62F4" w:rsidP="001F62F4">
            <w:pPr>
              <w:spacing w:line="240" w:lineRule="auto"/>
            </w:pPr>
            <w:r>
              <w:t>Chair of Educational Studies</w:t>
            </w:r>
          </w:p>
        </w:tc>
        <w:tc>
          <w:tcPr>
            <w:tcW w:w="3194" w:type="dxa"/>
            <w:vAlign w:val="center"/>
          </w:tcPr>
          <w:p w14:paraId="7027BFBD" w14:textId="77777777" w:rsidR="001F62F4" w:rsidRDefault="001F62F4" w:rsidP="001F62F4">
            <w:pPr>
              <w:spacing w:line="240" w:lineRule="auto"/>
            </w:pPr>
          </w:p>
        </w:tc>
        <w:tc>
          <w:tcPr>
            <w:tcW w:w="1160" w:type="dxa"/>
            <w:vAlign w:val="center"/>
          </w:tcPr>
          <w:p w14:paraId="3FF3A0F5" w14:textId="77777777" w:rsidR="001F62F4" w:rsidRDefault="001F62F4" w:rsidP="001F62F4">
            <w:pPr>
              <w:spacing w:line="240" w:lineRule="auto"/>
            </w:pPr>
          </w:p>
        </w:tc>
      </w:tr>
      <w:tr w:rsidR="001F62F4" w14:paraId="12593C6D" w14:textId="77777777" w:rsidTr="003B7E66">
        <w:trPr>
          <w:cantSplit/>
          <w:trHeight w:val="489"/>
        </w:trPr>
        <w:tc>
          <w:tcPr>
            <w:tcW w:w="3172" w:type="dxa"/>
            <w:vAlign w:val="center"/>
          </w:tcPr>
          <w:p w14:paraId="444E3CBF" w14:textId="26BACD1E" w:rsidR="001F62F4" w:rsidRDefault="003B7E66" w:rsidP="001F62F4">
            <w:pPr>
              <w:spacing w:line="240" w:lineRule="auto"/>
            </w:pPr>
            <w:r>
              <w:t xml:space="preserve">Gerri August  + </w:t>
            </w:r>
            <w:r w:rsidR="001F62F4">
              <w:t>Julie Horwitz</w:t>
            </w:r>
          </w:p>
        </w:tc>
        <w:tc>
          <w:tcPr>
            <w:tcW w:w="3254" w:type="dxa"/>
            <w:vAlign w:val="center"/>
          </w:tcPr>
          <w:p w14:paraId="087D47B4" w14:textId="4E815C39" w:rsidR="001F62F4" w:rsidRDefault="001F62F4" w:rsidP="001F62F4">
            <w:pPr>
              <w:spacing w:line="240" w:lineRule="auto"/>
            </w:pPr>
            <w:r>
              <w:t>Dean</w:t>
            </w:r>
            <w:r w:rsidR="003B7E66">
              <w:t>s</w:t>
            </w:r>
            <w:r>
              <w:t xml:space="preserve"> of Feinstein School of Education and Human Development</w:t>
            </w:r>
          </w:p>
        </w:tc>
        <w:tc>
          <w:tcPr>
            <w:tcW w:w="3194" w:type="dxa"/>
            <w:vAlign w:val="center"/>
          </w:tcPr>
          <w:p w14:paraId="49346F79" w14:textId="77777777" w:rsidR="001F62F4" w:rsidRDefault="001F62F4" w:rsidP="001F62F4">
            <w:pPr>
              <w:spacing w:line="240" w:lineRule="auto"/>
            </w:pPr>
          </w:p>
        </w:tc>
        <w:tc>
          <w:tcPr>
            <w:tcW w:w="1160" w:type="dxa"/>
            <w:vAlign w:val="center"/>
          </w:tcPr>
          <w:p w14:paraId="7BA55FCD" w14:textId="77777777" w:rsidR="001F62F4" w:rsidRDefault="001F62F4" w:rsidP="001F62F4">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815C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0" w:name="Signature_2"/>
            <w:bookmarkEnd w:id="30"/>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21A4A" w14:textId="77777777" w:rsidR="00F815CF" w:rsidRDefault="00F815CF" w:rsidP="00FA78CA">
      <w:pPr>
        <w:spacing w:line="240" w:lineRule="auto"/>
      </w:pPr>
      <w:r>
        <w:separator/>
      </w:r>
    </w:p>
  </w:endnote>
  <w:endnote w:type="continuationSeparator" w:id="0">
    <w:p w14:paraId="2303AD90" w14:textId="77777777" w:rsidR="00F815CF" w:rsidRDefault="00F815C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entieth Century">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32DC" w14:textId="77777777" w:rsidR="0081328A" w:rsidRDefault="00813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77E2317D"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81328A">
      <w:rPr>
        <w:b/>
        <w:bCs/>
        <w:noProof/>
        <w:sz w:val="20"/>
      </w:rPr>
      <w:t>5</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81328A">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8B4F" w14:textId="77777777" w:rsidR="0081328A" w:rsidRDefault="00813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4CD9E" w14:textId="77777777" w:rsidR="00F815CF" w:rsidRDefault="00F815CF" w:rsidP="00FA78CA">
      <w:pPr>
        <w:spacing w:line="240" w:lineRule="auto"/>
      </w:pPr>
      <w:r>
        <w:separator/>
      </w:r>
    </w:p>
  </w:footnote>
  <w:footnote w:type="continuationSeparator" w:id="0">
    <w:p w14:paraId="5E63A81F" w14:textId="77777777" w:rsidR="00F815CF" w:rsidRDefault="00F815CF"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2A4F" w14:textId="77777777" w:rsidR="0081328A" w:rsidRDefault="00813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45E6CC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31" w:name="_GoBack"/>
    <w:r w:rsidR="0081328A">
      <w:rPr>
        <w:color w:val="4F6228"/>
      </w:rPr>
      <w:t>1819_34 YDEV 501 course creation</w:t>
    </w:r>
    <w:r w:rsidRPr="004254A0">
      <w:rPr>
        <w:color w:val="4F6228"/>
      </w:rPr>
      <w:tab/>
    </w:r>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1328A">
      <w:rPr>
        <w:color w:val="4F6228"/>
      </w:rPr>
      <w:t>1/32/19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DA1A" w14:textId="77777777" w:rsidR="0081328A" w:rsidRDefault="00813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2B9"/>
    <w:multiLevelType w:val="hybridMultilevel"/>
    <w:tmpl w:val="1DE8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12CBB"/>
    <w:multiLevelType w:val="multilevel"/>
    <w:tmpl w:val="7454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667B6D"/>
    <w:multiLevelType w:val="multilevel"/>
    <w:tmpl w:val="971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C72AD"/>
    <w:multiLevelType w:val="multilevel"/>
    <w:tmpl w:val="339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2E1F73"/>
    <w:multiLevelType w:val="multilevel"/>
    <w:tmpl w:val="804C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15237"/>
    <w:multiLevelType w:val="multilevel"/>
    <w:tmpl w:val="9CA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FAF1E2D"/>
    <w:multiLevelType w:val="hybridMultilevel"/>
    <w:tmpl w:val="9D9E4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8"/>
  </w:num>
  <w:num w:numId="6">
    <w:abstractNumId w:val="15"/>
  </w:num>
  <w:num w:numId="7">
    <w:abstractNumId w:val="3"/>
  </w:num>
  <w:num w:numId="8">
    <w:abstractNumId w:val="9"/>
  </w:num>
  <w:num w:numId="9">
    <w:abstractNumId w:val="11"/>
  </w:num>
  <w:num w:numId="10">
    <w:abstractNumId w:val="6"/>
  </w:num>
  <w:num w:numId="11">
    <w:abstractNumId w:val="16"/>
  </w:num>
  <w:num w:numId="12">
    <w:abstractNumId w:val="2"/>
  </w:num>
  <w:num w:numId="13">
    <w:abstractNumId w:val="13"/>
  </w:num>
  <w:num w:numId="14">
    <w:abstractNumId w:val="14"/>
  </w:num>
  <w:num w:numId="15">
    <w:abstractNumId w:val="7"/>
  </w:num>
  <w:num w:numId="16">
    <w:abstractNumId w:val="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0449"/>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1F62F4"/>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86206"/>
    <w:rsid w:val="003A45F6"/>
    <w:rsid w:val="003B2F7F"/>
    <w:rsid w:val="003B4A52"/>
    <w:rsid w:val="003B7E66"/>
    <w:rsid w:val="003C1A54"/>
    <w:rsid w:val="003C3E00"/>
    <w:rsid w:val="003C511E"/>
    <w:rsid w:val="003D7372"/>
    <w:rsid w:val="003F099C"/>
    <w:rsid w:val="003F4E82"/>
    <w:rsid w:val="00402602"/>
    <w:rsid w:val="004254A0"/>
    <w:rsid w:val="004313E6"/>
    <w:rsid w:val="004403BD"/>
    <w:rsid w:val="00442EEA"/>
    <w:rsid w:val="0047201D"/>
    <w:rsid w:val="004779B4"/>
    <w:rsid w:val="00482982"/>
    <w:rsid w:val="0048308F"/>
    <w:rsid w:val="004932BC"/>
    <w:rsid w:val="004B1512"/>
    <w:rsid w:val="004E57C5"/>
    <w:rsid w:val="004F6658"/>
    <w:rsid w:val="00510E78"/>
    <w:rsid w:val="005174B4"/>
    <w:rsid w:val="005473BC"/>
    <w:rsid w:val="005873E3"/>
    <w:rsid w:val="00587DC6"/>
    <w:rsid w:val="005B6441"/>
    <w:rsid w:val="005C23BD"/>
    <w:rsid w:val="005C37AA"/>
    <w:rsid w:val="005C3F83"/>
    <w:rsid w:val="005C7C5B"/>
    <w:rsid w:val="005D389E"/>
    <w:rsid w:val="005E752D"/>
    <w:rsid w:val="005F2A05"/>
    <w:rsid w:val="0060382D"/>
    <w:rsid w:val="00663C1F"/>
    <w:rsid w:val="00670869"/>
    <w:rsid w:val="006761E1"/>
    <w:rsid w:val="00683AEB"/>
    <w:rsid w:val="006905C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0693"/>
    <w:rsid w:val="008122C6"/>
    <w:rsid w:val="0081328A"/>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1224B"/>
    <w:rsid w:val="009262CD"/>
    <w:rsid w:val="00932B72"/>
    <w:rsid w:val="00936421"/>
    <w:rsid w:val="009367B9"/>
    <w:rsid w:val="0094396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957"/>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A402A"/>
    <w:rsid w:val="00EB049C"/>
    <w:rsid w:val="00EB33FD"/>
    <w:rsid w:val="00EC63A4"/>
    <w:rsid w:val="00EC7B24"/>
    <w:rsid w:val="00ED10F6"/>
    <w:rsid w:val="00ED1712"/>
    <w:rsid w:val="00ED1BF0"/>
    <w:rsid w:val="00EF3B20"/>
    <w:rsid w:val="00F15B95"/>
    <w:rsid w:val="00F32980"/>
    <w:rsid w:val="00F56CE6"/>
    <w:rsid w:val="00F64260"/>
    <w:rsid w:val="00F815CF"/>
    <w:rsid w:val="00F871BA"/>
    <w:rsid w:val="00F95423"/>
    <w:rsid w:val="00FA6359"/>
    <w:rsid w:val="00FA6998"/>
    <w:rsid w:val="00FA72E0"/>
    <w:rsid w:val="00FA769F"/>
    <w:rsid w:val="00FA78CA"/>
    <w:rsid w:val="00FE0FF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F870ADD-43C2-5842-A7E9-09AC0A9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FE0FFD"/>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9762">
      <w:bodyDiv w:val="1"/>
      <w:marLeft w:val="0"/>
      <w:marRight w:val="0"/>
      <w:marTop w:val="0"/>
      <w:marBottom w:val="0"/>
      <w:divBdr>
        <w:top w:val="none" w:sz="0" w:space="0" w:color="auto"/>
        <w:left w:val="none" w:sz="0" w:space="0" w:color="auto"/>
        <w:bottom w:val="none" w:sz="0" w:space="0" w:color="auto"/>
        <w:right w:val="none" w:sz="0" w:space="0" w:color="auto"/>
      </w:divBdr>
    </w:div>
    <w:div w:id="228273742">
      <w:bodyDiv w:val="1"/>
      <w:marLeft w:val="0"/>
      <w:marRight w:val="0"/>
      <w:marTop w:val="0"/>
      <w:marBottom w:val="0"/>
      <w:divBdr>
        <w:top w:val="none" w:sz="0" w:space="0" w:color="auto"/>
        <w:left w:val="none" w:sz="0" w:space="0" w:color="auto"/>
        <w:bottom w:val="none" w:sz="0" w:space="0" w:color="auto"/>
        <w:right w:val="none" w:sz="0" w:space="0" w:color="auto"/>
      </w:divBdr>
    </w:div>
    <w:div w:id="694355540">
      <w:bodyDiv w:val="1"/>
      <w:marLeft w:val="0"/>
      <w:marRight w:val="0"/>
      <w:marTop w:val="0"/>
      <w:marBottom w:val="0"/>
      <w:divBdr>
        <w:top w:val="none" w:sz="0" w:space="0" w:color="auto"/>
        <w:left w:val="none" w:sz="0" w:space="0" w:color="auto"/>
        <w:bottom w:val="none" w:sz="0" w:space="0" w:color="auto"/>
        <w:right w:val="none" w:sz="0" w:space="0" w:color="auto"/>
      </w:divBdr>
    </w:div>
    <w:div w:id="705104042">
      <w:bodyDiv w:val="1"/>
      <w:marLeft w:val="0"/>
      <w:marRight w:val="0"/>
      <w:marTop w:val="0"/>
      <w:marBottom w:val="0"/>
      <w:divBdr>
        <w:top w:val="none" w:sz="0" w:space="0" w:color="auto"/>
        <w:left w:val="none" w:sz="0" w:space="0" w:color="auto"/>
        <w:bottom w:val="none" w:sz="0" w:space="0" w:color="auto"/>
        <w:right w:val="none" w:sz="0" w:space="0" w:color="auto"/>
      </w:divBdr>
    </w:div>
    <w:div w:id="788428298">
      <w:bodyDiv w:val="1"/>
      <w:marLeft w:val="0"/>
      <w:marRight w:val="0"/>
      <w:marTop w:val="0"/>
      <w:marBottom w:val="0"/>
      <w:divBdr>
        <w:top w:val="none" w:sz="0" w:space="0" w:color="auto"/>
        <w:left w:val="none" w:sz="0" w:space="0" w:color="auto"/>
        <w:bottom w:val="none" w:sz="0" w:space="0" w:color="auto"/>
        <w:right w:val="none" w:sz="0" w:space="0" w:color="auto"/>
      </w:divBdr>
    </w:div>
    <w:div w:id="806748877">
      <w:bodyDiv w:val="1"/>
      <w:marLeft w:val="0"/>
      <w:marRight w:val="0"/>
      <w:marTop w:val="0"/>
      <w:marBottom w:val="0"/>
      <w:divBdr>
        <w:top w:val="none" w:sz="0" w:space="0" w:color="auto"/>
        <w:left w:val="none" w:sz="0" w:space="0" w:color="auto"/>
        <w:bottom w:val="none" w:sz="0" w:space="0" w:color="auto"/>
        <w:right w:val="none" w:sz="0" w:space="0" w:color="auto"/>
      </w:divBdr>
    </w:div>
    <w:div w:id="812521326">
      <w:bodyDiv w:val="1"/>
      <w:marLeft w:val="0"/>
      <w:marRight w:val="0"/>
      <w:marTop w:val="0"/>
      <w:marBottom w:val="0"/>
      <w:divBdr>
        <w:top w:val="none" w:sz="0" w:space="0" w:color="auto"/>
        <w:left w:val="none" w:sz="0" w:space="0" w:color="auto"/>
        <w:bottom w:val="none" w:sz="0" w:space="0" w:color="auto"/>
        <w:right w:val="none" w:sz="0" w:space="0" w:color="auto"/>
      </w:divBdr>
    </w:div>
    <w:div w:id="1232740353">
      <w:bodyDiv w:val="1"/>
      <w:marLeft w:val="0"/>
      <w:marRight w:val="0"/>
      <w:marTop w:val="0"/>
      <w:marBottom w:val="0"/>
      <w:divBdr>
        <w:top w:val="none" w:sz="0" w:space="0" w:color="auto"/>
        <w:left w:val="none" w:sz="0" w:space="0" w:color="auto"/>
        <w:bottom w:val="none" w:sz="0" w:space="0" w:color="auto"/>
        <w:right w:val="none" w:sz="0" w:space="0" w:color="auto"/>
      </w:divBdr>
    </w:div>
    <w:div w:id="1573924708">
      <w:bodyDiv w:val="1"/>
      <w:marLeft w:val="0"/>
      <w:marRight w:val="0"/>
      <w:marTop w:val="0"/>
      <w:marBottom w:val="0"/>
      <w:divBdr>
        <w:top w:val="none" w:sz="0" w:space="0" w:color="auto"/>
        <w:left w:val="none" w:sz="0" w:space="0" w:color="auto"/>
        <w:bottom w:val="none" w:sz="0" w:space="0" w:color="auto"/>
        <w:right w:val="none" w:sz="0" w:space="0" w:color="auto"/>
      </w:divBdr>
    </w:div>
    <w:div w:id="1601524537">
      <w:bodyDiv w:val="1"/>
      <w:marLeft w:val="0"/>
      <w:marRight w:val="0"/>
      <w:marTop w:val="0"/>
      <w:marBottom w:val="0"/>
      <w:divBdr>
        <w:top w:val="none" w:sz="0" w:space="0" w:color="auto"/>
        <w:left w:val="none" w:sz="0" w:space="0" w:color="auto"/>
        <w:bottom w:val="none" w:sz="0" w:space="0" w:color="auto"/>
        <w:right w:val="none" w:sz="0" w:space="0" w:color="auto"/>
      </w:divBdr>
    </w:div>
    <w:div w:id="17165878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67Z3ZXSPZZWZ-954-124</_dlc_DocId>
    <_dlc_DocIdUrl xmlns="67887a43-7e4d-4c1c-91d7-15e417b1b8ab">
      <Url>https://w3.ric.edu/graduate_committee/_layouts/15/DocIdRedir.aspx?ID=67Z3ZXSPZZWZ-954-124</Url>
      <Description>67Z3ZXSPZZWZ-954-124</Description>
    </_dlc_DocIdUrl>
  </documentManagement>
</p:properties>
</file>

<file path=customXml/itemProps1.xml><?xml version="1.0" encoding="utf-8"?>
<ds:datastoreItem xmlns:ds="http://schemas.openxmlformats.org/officeDocument/2006/customXml" ds:itemID="{C634033C-5020-4126-A2A5-B4ECBCB897FB}"/>
</file>

<file path=customXml/itemProps2.xml><?xml version="1.0" encoding="utf-8"?>
<ds:datastoreItem xmlns:ds="http://schemas.openxmlformats.org/officeDocument/2006/customXml" ds:itemID="{AADDC66D-80E1-43AB-8105-739DE08281F0}"/>
</file>

<file path=customXml/itemProps3.xml><?xml version="1.0" encoding="utf-8"?>
<ds:datastoreItem xmlns:ds="http://schemas.openxmlformats.org/officeDocument/2006/customXml" ds:itemID="{29DA8F66-AAC3-4E73-B3FA-7DEE2F746DA2}"/>
</file>

<file path=customXml/itemProps4.xml><?xml version="1.0" encoding="utf-8"?>
<ds:datastoreItem xmlns:ds="http://schemas.openxmlformats.org/officeDocument/2006/customXml" ds:itemID="{53B44B7A-D627-4D0C-B0B3-5A5DA9C1F219}"/>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2019-01-20T12:45:00Z</dcterms:created>
  <dcterms:modified xsi:type="dcterms:W3CDTF">2019-01-20T12:45:00Z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3b5fb8b5-b778-4ff9-b339-5c12f57f2663</vt:lpwstr>
  </property>
</Properties>
</file>