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942BB" w14:textId="77777777" w:rsidR="005F0F9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CURRICULUM COMMITTEE </w:t>
      </w:r>
    </w:p>
    <w:p w14:paraId="715BBA85" w14:textId="395422D6" w:rsidR="00F64260" w:rsidRDefault="00F64260" w:rsidP="00DF4FCD">
      <w:pPr>
        <w:pStyle w:val="Heading1"/>
      </w:pPr>
      <w:r>
        <w:br/>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A87611">
        <w:rPr>
          <w:color w:val="auto"/>
          <w:spacing w:val="20"/>
          <w:sz w:val="18"/>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A87611">
          <w:rPr>
            <w:rStyle w:val="Hyperlink"/>
            <w:spacing w:val="20"/>
            <w:sz w:val="18"/>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2B6EB9AD" w14:textId="77777777" w:rsidR="003A25DA" w:rsidRDefault="003A25DA" w:rsidP="005700EE">
            <w:pPr>
              <w:tabs>
                <w:tab w:val="left" w:pos="1395"/>
              </w:tabs>
              <w:rPr>
                <w:rFonts w:ascii="Times New Roman" w:hAnsi="Times New Roman"/>
                <w:b/>
                <w:sz w:val="24"/>
                <w:szCs w:val="24"/>
              </w:rPr>
            </w:pPr>
            <w:bookmarkStart w:id="0" w:name="Proposal"/>
            <w:bookmarkEnd w:id="0"/>
          </w:p>
          <w:p w14:paraId="025AEBEB" w14:textId="77777777" w:rsidR="000B48E2" w:rsidRDefault="000B48E2" w:rsidP="005700EE">
            <w:pPr>
              <w:tabs>
                <w:tab w:val="left" w:pos="1395"/>
              </w:tabs>
              <w:rPr>
                <w:rFonts w:ascii="Times New Roman" w:hAnsi="Times New Roman"/>
                <w:b/>
                <w:sz w:val="24"/>
                <w:szCs w:val="24"/>
              </w:rPr>
            </w:pPr>
          </w:p>
          <w:p w14:paraId="28510D99" w14:textId="0B0AB151" w:rsidR="00481B5B" w:rsidRPr="00D41C5C" w:rsidRDefault="003A25DA" w:rsidP="005700EE">
            <w:pPr>
              <w:tabs>
                <w:tab w:val="left" w:pos="1395"/>
              </w:tabs>
              <w:rPr>
                <w:rFonts w:ascii="Times New Roman" w:hAnsi="Times New Roman"/>
                <w:b/>
                <w:sz w:val="24"/>
                <w:szCs w:val="24"/>
              </w:rPr>
            </w:pPr>
            <w:r>
              <w:rPr>
                <w:rFonts w:ascii="Times New Roman" w:hAnsi="Times New Roman"/>
                <w:b/>
                <w:sz w:val="24"/>
                <w:szCs w:val="24"/>
              </w:rPr>
              <w:t>HCA 5</w:t>
            </w:r>
            <w:r w:rsidR="00DB607F">
              <w:rPr>
                <w:rFonts w:ascii="Times New Roman" w:hAnsi="Times New Roman"/>
                <w:b/>
                <w:sz w:val="24"/>
                <w:szCs w:val="24"/>
              </w:rPr>
              <w:t>4</w:t>
            </w:r>
            <w:r>
              <w:rPr>
                <w:rFonts w:ascii="Times New Roman" w:hAnsi="Times New Roman"/>
                <w:b/>
                <w:sz w:val="24"/>
                <w:szCs w:val="24"/>
              </w:rPr>
              <w:t>5 –</w:t>
            </w:r>
            <w:r w:rsidR="00FF0B61">
              <w:rPr>
                <w:rFonts w:ascii="Times New Roman" w:hAnsi="Times New Roman"/>
                <w:b/>
                <w:sz w:val="24"/>
                <w:szCs w:val="24"/>
              </w:rPr>
              <w:t xml:space="preserve"> Managing</w:t>
            </w:r>
            <w:r w:rsidR="00F94B85">
              <w:rPr>
                <w:rFonts w:ascii="Times New Roman" w:hAnsi="Times New Roman"/>
                <w:b/>
                <w:sz w:val="24"/>
                <w:szCs w:val="24"/>
              </w:rPr>
              <w:t xml:space="preserve"> Health Care Organizations</w:t>
            </w:r>
          </w:p>
          <w:p w14:paraId="3807EAD1" w14:textId="18C092E9" w:rsidR="00F64260" w:rsidRPr="00A83A6C" w:rsidRDefault="00F64260" w:rsidP="00B862BF">
            <w:pPr>
              <w:pStyle w:val="Heading5"/>
              <w:rPr>
                <w:b/>
              </w:rPr>
            </w:pP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D73AC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1420453B" w:rsidR="00F64260" w:rsidRPr="00A83A6C" w:rsidRDefault="003A25DA" w:rsidP="00B862BF">
            <w:pPr>
              <w:pStyle w:val="Heading5"/>
              <w:rPr>
                <w:b/>
              </w:rPr>
            </w:pPr>
            <w:bookmarkStart w:id="3" w:name="Ifapplicable"/>
            <w:bookmarkEnd w:id="3"/>
            <w:r>
              <w:rPr>
                <w:b/>
              </w:rPr>
              <w:t>HCA 535 Managing Community health</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22A6B37E" w14:textId="010BDDAE" w:rsidR="00F64260" w:rsidRDefault="00DE645F" w:rsidP="000A36CD">
            <w:pPr>
              <w:rPr>
                <w:b/>
              </w:rPr>
            </w:pPr>
            <w:r>
              <w:t>New Course, to replace HCA 535</w:t>
            </w:r>
            <w:r w:rsidR="00F50311">
              <w:rPr>
                <w:b/>
              </w:rPr>
              <w:t xml:space="preserve"> </w:t>
            </w:r>
          </w:p>
          <w:p w14:paraId="162BF641" w14:textId="0B6E55EC" w:rsidR="00D41731" w:rsidRPr="005F2A05" w:rsidRDefault="00D41731" w:rsidP="00441131">
            <w:pPr>
              <w:tabs>
                <w:tab w:val="left" w:pos="1395"/>
              </w:tabs>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109F9B7A" w14:textId="786C1081" w:rsidR="00F64260" w:rsidRPr="00DE645F" w:rsidRDefault="003A25DA" w:rsidP="00B862BF">
            <w:bookmarkStart w:id="4" w:name="Originator"/>
            <w:bookmarkEnd w:id="4"/>
            <w:r w:rsidRPr="00DE645F">
              <w:t>Christine Connolly</w:t>
            </w:r>
          </w:p>
        </w:tc>
        <w:tc>
          <w:tcPr>
            <w:tcW w:w="1210" w:type="pct"/>
          </w:tcPr>
          <w:p w14:paraId="6508E308" w14:textId="5B7864A0" w:rsidR="00F64260" w:rsidRDefault="00D73AC6"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r w:rsidR="00AB5733">
              <w:rPr>
                <w:rStyle w:val="Hyperlink"/>
              </w:rPr>
              <w:t>s</w:t>
            </w:r>
          </w:p>
          <w:p w14:paraId="561C556F" w14:textId="59A468DF" w:rsidR="00F50311" w:rsidRPr="00946B20" w:rsidRDefault="00F50311" w:rsidP="00B862BF"/>
        </w:tc>
        <w:tc>
          <w:tcPr>
            <w:tcW w:w="1519" w:type="pct"/>
            <w:gridSpan w:val="3"/>
          </w:tcPr>
          <w:p w14:paraId="1806736B" w14:textId="141F2BDA" w:rsidR="00F64260" w:rsidRPr="00B605CE" w:rsidRDefault="003A25DA" w:rsidP="00AB5733">
            <w:pPr>
              <w:rPr>
                <w:b/>
              </w:rPr>
            </w:pPr>
            <w:bookmarkStart w:id="5" w:name="home_dept"/>
            <w:bookmarkEnd w:id="5"/>
            <w:r>
              <w:t>Management and Marketing: Health Care Administration</w:t>
            </w:r>
          </w:p>
        </w:tc>
      </w:tr>
      <w:tr w:rsidR="00F64260" w:rsidRPr="006E3AF2" w14:paraId="32A3543C" w14:textId="77777777" w:rsidTr="0014334F">
        <w:tc>
          <w:tcPr>
            <w:tcW w:w="1111" w:type="pct"/>
            <w:vAlign w:val="center"/>
          </w:tcPr>
          <w:p w14:paraId="29A28E61" w14:textId="3466E0B6"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0BB002F3" w14:textId="0F176038" w:rsidR="00314FB5" w:rsidRDefault="00314FB5" w:rsidP="00314FB5">
            <w:pPr>
              <w:pStyle w:val="xmsonormal"/>
              <w:shd w:val="clear" w:color="auto" w:fill="FFFFFF"/>
              <w:rPr>
                <w:color w:val="000000"/>
              </w:rPr>
            </w:pPr>
            <w:bookmarkStart w:id="6" w:name="Rationale"/>
            <w:bookmarkEnd w:id="6"/>
            <w:r>
              <w:rPr>
                <w:color w:val="000000"/>
              </w:rPr>
              <w:t xml:space="preserve">Rationale for </w:t>
            </w:r>
            <w:r w:rsidR="0096769D">
              <w:rPr>
                <w:color w:val="000000"/>
              </w:rPr>
              <w:t xml:space="preserve">Course </w:t>
            </w:r>
            <w:r w:rsidR="003A25DA">
              <w:rPr>
                <w:color w:val="000000"/>
              </w:rPr>
              <w:t>Change</w:t>
            </w:r>
          </w:p>
          <w:p w14:paraId="3C1116DC" w14:textId="11B3EA45" w:rsidR="00481B5B" w:rsidRDefault="003A25DA" w:rsidP="00314FB5">
            <w:pPr>
              <w:pStyle w:val="xmsonormal"/>
              <w:shd w:val="clear" w:color="auto" w:fill="FFFFFF"/>
              <w:rPr>
                <w:color w:val="000000"/>
              </w:rPr>
            </w:pPr>
            <w:r>
              <w:rPr>
                <w:color w:val="000000"/>
              </w:rPr>
              <w:t xml:space="preserve">As </w:t>
            </w:r>
            <w:r w:rsidR="00481B5B">
              <w:rPr>
                <w:color w:val="000000"/>
              </w:rPr>
              <w:t>the MS in Health Care Administration</w:t>
            </w:r>
            <w:r w:rsidR="00F94B85">
              <w:rPr>
                <w:color w:val="000000"/>
              </w:rPr>
              <w:t xml:space="preserve"> program </w:t>
            </w:r>
            <w:r>
              <w:rPr>
                <w:color w:val="000000"/>
              </w:rPr>
              <w:t>continue</w:t>
            </w:r>
            <w:r w:rsidR="00F94B85">
              <w:rPr>
                <w:color w:val="000000"/>
              </w:rPr>
              <w:t xml:space="preserve">s to evolve, </w:t>
            </w:r>
            <w:r>
              <w:rPr>
                <w:color w:val="000000"/>
              </w:rPr>
              <w:t>we have become aware that a strong</w:t>
            </w:r>
            <w:r w:rsidR="00481B5B">
              <w:rPr>
                <w:color w:val="000000"/>
              </w:rPr>
              <w:t xml:space="preserve">er and </w:t>
            </w:r>
            <w:proofErr w:type="gramStart"/>
            <w:r w:rsidR="00481B5B">
              <w:rPr>
                <w:color w:val="000000"/>
              </w:rPr>
              <w:t>more broad</w:t>
            </w:r>
            <w:proofErr w:type="gramEnd"/>
            <w:r>
              <w:rPr>
                <w:color w:val="000000"/>
              </w:rPr>
              <w:t xml:space="preserve"> health care </w:t>
            </w:r>
            <w:r w:rsidR="00F94B85">
              <w:rPr>
                <w:color w:val="000000"/>
              </w:rPr>
              <w:t>management</w:t>
            </w:r>
            <w:r>
              <w:rPr>
                <w:color w:val="000000"/>
              </w:rPr>
              <w:t xml:space="preserve"> course is needed to better prepare our students for leading and managing in the healthcare sector. The previous course was designed with a community health</w:t>
            </w:r>
            <w:r w:rsidR="00F94B85">
              <w:rPr>
                <w:color w:val="000000"/>
              </w:rPr>
              <w:t xml:space="preserve"> focus and as the course was</w:t>
            </w:r>
            <w:r>
              <w:rPr>
                <w:color w:val="000000"/>
              </w:rPr>
              <w:t xml:space="preserve"> implemented it became apparent that there was overlap with </w:t>
            </w:r>
            <w:r w:rsidR="00481B5B">
              <w:rPr>
                <w:color w:val="000000"/>
              </w:rPr>
              <w:t>another cour</w:t>
            </w:r>
            <w:r w:rsidR="00BB53B7">
              <w:rPr>
                <w:color w:val="000000"/>
              </w:rPr>
              <w:t>ses and that it lacked a</w:t>
            </w:r>
            <w:r>
              <w:rPr>
                <w:color w:val="000000"/>
              </w:rPr>
              <w:t xml:space="preserve"> management emphasis in all</w:t>
            </w:r>
            <w:r w:rsidR="00BB53B7">
              <w:rPr>
                <w:color w:val="000000"/>
              </w:rPr>
              <w:t xml:space="preserve"> other</w:t>
            </w:r>
            <w:r>
              <w:rPr>
                <w:color w:val="000000"/>
              </w:rPr>
              <w:t xml:space="preserve"> facets of health care. </w:t>
            </w:r>
          </w:p>
          <w:p w14:paraId="4B1FBFB8" w14:textId="292AAC4C" w:rsidR="003A25DA" w:rsidRDefault="003A25DA" w:rsidP="00314FB5">
            <w:pPr>
              <w:pStyle w:val="xmsonormal"/>
              <w:shd w:val="clear" w:color="auto" w:fill="FFFFFF"/>
              <w:rPr>
                <w:color w:val="000000"/>
              </w:rPr>
            </w:pPr>
            <w:r>
              <w:rPr>
                <w:color w:val="000000"/>
              </w:rPr>
              <w:t xml:space="preserve">This </w:t>
            </w:r>
            <w:r w:rsidR="00F94B85">
              <w:rPr>
                <w:color w:val="000000"/>
              </w:rPr>
              <w:t xml:space="preserve">curriculum change </w:t>
            </w:r>
            <w:r>
              <w:rPr>
                <w:color w:val="000000"/>
              </w:rPr>
              <w:t xml:space="preserve">resolves this issue and strengthens students understanding of unique health care management requirements in a variety of health care settings. </w:t>
            </w:r>
            <w:r w:rsidR="00F94B85">
              <w:rPr>
                <w:color w:val="000000"/>
              </w:rPr>
              <w:t>Our graduate curriculum is best served with a strong management course that looks at managing not just in a community public health arena but also in hospitals, assisted living and nursing facilities, community health centers, and other areas delivering health care services.</w:t>
            </w:r>
            <w:r w:rsidR="00BB53B7">
              <w:rPr>
                <w:color w:val="000000"/>
              </w:rPr>
              <w:t xml:space="preserve"> </w:t>
            </w:r>
          </w:p>
          <w:p w14:paraId="6B8423D8" w14:textId="667EFFE6" w:rsidR="00481B5B" w:rsidRDefault="002F080F" w:rsidP="00314FB5">
            <w:pPr>
              <w:pStyle w:val="xmsonormal"/>
              <w:shd w:val="clear" w:color="auto" w:fill="FFFFFF"/>
              <w:rPr>
                <w:color w:val="000000"/>
              </w:rPr>
            </w:pPr>
            <w:r>
              <w:rPr>
                <w:color w:val="000000"/>
              </w:rPr>
              <w:t>HCA 535 is only a curriculum requirement for</w:t>
            </w:r>
            <w:r w:rsidR="00481B5B">
              <w:rPr>
                <w:color w:val="000000"/>
              </w:rPr>
              <w:t xml:space="preserve"> MS-HCA majors so this will not impact other departments or programs.</w:t>
            </w:r>
          </w:p>
          <w:p w14:paraId="312C18F6" w14:textId="65315A88" w:rsidR="002F080F" w:rsidRDefault="002F080F" w:rsidP="00314FB5">
            <w:pPr>
              <w:pStyle w:val="xmsonormal"/>
              <w:shd w:val="clear" w:color="auto" w:fill="FFFFFF"/>
              <w:rPr>
                <w:color w:val="000000"/>
              </w:rPr>
            </w:pPr>
            <w:r>
              <w:rPr>
                <w:color w:val="000000"/>
              </w:rPr>
              <w:t>While this new cour</w:t>
            </w:r>
            <w:r w:rsidR="00870134">
              <w:rPr>
                <w:color w:val="000000"/>
              </w:rPr>
              <w:t>se offering will replace HCA 535</w:t>
            </w:r>
            <w:r>
              <w:rPr>
                <w:color w:val="000000"/>
              </w:rPr>
              <w:t>, for those who have al</w:t>
            </w:r>
            <w:r w:rsidR="00870134">
              <w:rPr>
                <w:color w:val="000000"/>
              </w:rPr>
              <w:t>ready taken HCA 535, we will accept HCA 535</w:t>
            </w:r>
            <w:r w:rsidR="0021709F">
              <w:rPr>
                <w:color w:val="000000"/>
              </w:rPr>
              <w:t xml:space="preserve">, </w:t>
            </w:r>
            <w:r>
              <w:rPr>
                <w:color w:val="000000"/>
              </w:rPr>
              <w:t>in place of the HCA 545 requirement.</w:t>
            </w:r>
          </w:p>
          <w:p w14:paraId="05EEBBB2" w14:textId="77777777" w:rsidR="00F64260" w:rsidRPr="00FA6998" w:rsidRDefault="00F64260" w:rsidP="003A25DA">
            <w:pPr>
              <w:pStyle w:val="NormalWeb"/>
              <w:rPr>
                <w:b/>
              </w:rPr>
            </w:pPr>
          </w:p>
        </w:tc>
      </w:tr>
      <w:tr w:rsidR="00F64260" w:rsidRPr="006E3AF2" w14:paraId="564C6EF8" w14:textId="77777777">
        <w:trPr>
          <w:cantSplit/>
        </w:trPr>
        <w:tc>
          <w:tcPr>
            <w:tcW w:w="1111" w:type="pct"/>
            <w:vAlign w:val="center"/>
          </w:tcPr>
          <w:p w14:paraId="3EE360F5" w14:textId="054EBBB0" w:rsidR="00F64260" w:rsidRPr="00B649C4" w:rsidRDefault="00F64260" w:rsidP="00010085">
            <w:r w:rsidRPr="00B649C4">
              <w:t>A</w:t>
            </w:r>
            <w:r>
              <w:t>.</w:t>
            </w:r>
            <w:r w:rsidRPr="00B649C4">
              <w:t xml:space="preserve">5. </w:t>
            </w:r>
            <w:hyperlink w:anchor="date_submitted" w:tooltip="Enter the date of original submission by the home department." w:history="1">
              <w:r w:rsidRPr="00B649C4">
                <w:rPr>
                  <w:rStyle w:val="Hyperlink"/>
                </w:rPr>
                <w:t>Date submitted</w:t>
              </w:r>
            </w:hyperlink>
          </w:p>
        </w:tc>
        <w:tc>
          <w:tcPr>
            <w:tcW w:w="1160" w:type="pct"/>
          </w:tcPr>
          <w:p w14:paraId="340B64B5" w14:textId="572B8893" w:rsidR="00F64260" w:rsidRPr="00B605CE" w:rsidRDefault="00870134" w:rsidP="00B862BF">
            <w:pPr>
              <w:rPr>
                <w:b/>
              </w:rPr>
            </w:pPr>
            <w:bookmarkStart w:id="7" w:name="date_submitted"/>
            <w:bookmarkEnd w:id="7"/>
            <w:r>
              <w:rPr>
                <w:b/>
              </w:rPr>
              <w:t>10/3/2018</w:t>
            </w:r>
          </w:p>
        </w:tc>
        <w:tc>
          <w:tcPr>
            <w:tcW w:w="1373" w:type="pct"/>
            <w:gridSpan w:val="2"/>
          </w:tcPr>
          <w:p w14:paraId="34233518" w14:textId="78F5C07D" w:rsidR="00F64260" w:rsidRPr="00B605CE" w:rsidRDefault="00F64260" w:rsidP="00B862BF">
            <w:pPr>
              <w:rPr>
                <w:b/>
              </w:rPr>
            </w:pPr>
            <w:r>
              <w:rPr>
                <w:b/>
              </w:rPr>
              <w:t xml:space="preserve"> </w:t>
            </w:r>
            <w:r>
              <w:t xml:space="preserve">A.6.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45B89C2E" w14:textId="1D069FF9" w:rsidR="00F64260" w:rsidRPr="00B605CE" w:rsidRDefault="00E06348" w:rsidP="00B862BF">
            <w:pPr>
              <w:rPr>
                <w:b/>
              </w:rPr>
            </w:pPr>
            <w:bookmarkStart w:id="8" w:name="Semester_effective"/>
            <w:bookmarkEnd w:id="8"/>
            <w:r>
              <w:rPr>
                <w:b/>
              </w:rPr>
              <w:t>Spring 2019</w:t>
            </w:r>
            <w:bookmarkStart w:id="9" w:name="_GoBack"/>
            <w:bookmarkEnd w:id="9"/>
          </w:p>
        </w:tc>
      </w:tr>
      <w:tr w:rsidR="00314FB5" w:rsidRPr="006E3AF2" w14:paraId="2AC7A995" w14:textId="77777777">
        <w:trPr>
          <w:cantSplit/>
        </w:trPr>
        <w:tc>
          <w:tcPr>
            <w:tcW w:w="1111" w:type="pct"/>
            <w:vMerge w:val="restart"/>
            <w:vAlign w:val="center"/>
          </w:tcPr>
          <w:p w14:paraId="4D4A0D44" w14:textId="77777777" w:rsidR="00314FB5" w:rsidRPr="00B649C4" w:rsidRDefault="00314FB5" w:rsidP="00314FB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2CEBB622" w14:textId="77777777" w:rsidR="00314FB5" w:rsidRDefault="00314FB5" w:rsidP="00314FB5">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69B6F451" w14:textId="186B019E" w:rsidR="00314FB5" w:rsidRPr="00C25F9D" w:rsidRDefault="00F94B85" w:rsidP="00314FB5">
            <w:pPr>
              <w:rPr>
                <w:b/>
              </w:rPr>
            </w:pPr>
            <w:bookmarkStart w:id="11" w:name="faculty"/>
            <w:bookmarkEnd w:id="11"/>
            <w:r>
              <w:t>No additional faculty needed</w:t>
            </w:r>
          </w:p>
        </w:tc>
      </w:tr>
      <w:tr w:rsidR="00314FB5" w:rsidRPr="006E3AF2" w14:paraId="696EB52B" w14:textId="77777777">
        <w:trPr>
          <w:cantSplit/>
        </w:trPr>
        <w:tc>
          <w:tcPr>
            <w:tcW w:w="1111" w:type="pct"/>
            <w:vMerge/>
            <w:vAlign w:val="center"/>
          </w:tcPr>
          <w:p w14:paraId="48C19105" w14:textId="77777777" w:rsidR="00314FB5" w:rsidRPr="00B649C4" w:rsidRDefault="00314FB5" w:rsidP="00314FB5"/>
        </w:tc>
        <w:tc>
          <w:tcPr>
            <w:tcW w:w="1160" w:type="pct"/>
          </w:tcPr>
          <w:p w14:paraId="44E54921" w14:textId="77777777" w:rsidR="00314FB5" w:rsidRPr="000E2CBA" w:rsidRDefault="00D73AC6" w:rsidP="00314FB5">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14FB5" w:rsidRPr="004313E6">
                <w:rPr>
                  <w:rStyle w:val="Hyperlink"/>
                  <w:i/>
                </w:rPr>
                <w:t>Library</w:t>
              </w:r>
              <w:r w:rsidR="00314FB5" w:rsidRPr="004313E6">
                <w:rPr>
                  <w:rStyle w:val="Hyperlink"/>
                </w:rPr>
                <w:t>:</w:t>
              </w:r>
            </w:hyperlink>
          </w:p>
        </w:tc>
        <w:tc>
          <w:tcPr>
            <w:tcW w:w="0" w:type="auto"/>
            <w:gridSpan w:val="4"/>
          </w:tcPr>
          <w:p w14:paraId="2B334870" w14:textId="297B273E" w:rsidR="00314FB5" w:rsidRPr="00C25F9D" w:rsidRDefault="00314FB5" w:rsidP="00314FB5">
            <w:pPr>
              <w:rPr>
                <w:b/>
              </w:rPr>
            </w:pPr>
            <w:bookmarkStart w:id="12" w:name="library"/>
            <w:bookmarkEnd w:id="12"/>
            <w:r>
              <w:t>Existing library and information technology resources are sufficient for supporting the program at this time.</w:t>
            </w:r>
          </w:p>
        </w:tc>
      </w:tr>
      <w:tr w:rsidR="00314FB5" w:rsidRPr="006E3AF2" w14:paraId="229433C0" w14:textId="77777777">
        <w:trPr>
          <w:cantSplit/>
        </w:trPr>
        <w:tc>
          <w:tcPr>
            <w:tcW w:w="1111" w:type="pct"/>
            <w:vMerge/>
            <w:vAlign w:val="center"/>
          </w:tcPr>
          <w:p w14:paraId="57293392" w14:textId="77777777" w:rsidR="00314FB5" w:rsidRPr="00B649C4" w:rsidRDefault="00314FB5" w:rsidP="00314FB5"/>
        </w:tc>
        <w:tc>
          <w:tcPr>
            <w:tcW w:w="1160" w:type="pct"/>
          </w:tcPr>
          <w:p w14:paraId="62AC5907" w14:textId="0403B504" w:rsidR="00314FB5" w:rsidRPr="00704CFF" w:rsidRDefault="00D73AC6" w:rsidP="00314FB5">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14FB5">
                <w:rPr>
                  <w:rStyle w:val="Hyperlink"/>
                  <w:i/>
                </w:rPr>
                <w:t>Technology</w:t>
              </w:r>
            </w:hyperlink>
          </w:p>
        </w:tc>
        <w:tc>
          <w:tcPr>
            <w:tcW w:w="0" w:type="auto"/>
            <w:gridSpan w:val="4"/>
          </w:tcPr>
          <w:p w14:paraId="08E05E74" w14:textId="0381255A" w:rsidR="00314FB5" w:rsidRPr="00C25F9D" w:rsidRDefault="00314FB5" w:rsidP="00314FB5">
            <w:pPr>
              <w:rPr>
                <w:b/>
              </w:rPr>
            </w:pPr>
            <w:bookmarkStart w:id="13" w:name="technology"/>
            <w:bookmarkEnd w:id="13"/>
            <w:r>
              <w:t>Existing technology resources are sufficient for supporting the program at this time.</w:t>
            </w:r>
          </w:p>
        </w:tc>
      </w:tr>
      <w:tr w:rsidR="00314FB5" w:rsidRPr="006E3AF2" w14:paraId="5A1D36F2" w14:textId="77777777">
        <w:trPr>
          <w:cantSplit/>
        </w:trPr>
        <w:tc>
          <w:tcPr>
            <w:tcW w:w="1111" w:type="pct"/>
            <w:vMerge/>
            <w:vAlign w:val="center"/>
          </w:tcPr>
          <w:p w14:paraId="2A921BA7" w14:textId="77777777" w:rsidR="00314FB5" w:rsidRPr="00B649C4" w:rsidRDefault="00314FB5" w:rsidP="00314FB5"/>
        </w:tc>
        <w:tc>
          <w:tcPr>
            <w:tcW w:w="1160" w:type="pct"/>
          </w:tcPr>
          <w:p w14:paraId="423B9369" w14:textId="77777777" w:rsidR="00314FB5" w:rsidRPr="000E2CBA" w:rsidRDefault="00D73AC6" w:rsidP="00314FB5">
            <w:pPr>
              <w:rPr>
                <w:i/>
              </w:rPr>
            </w:pPr>
            <w:hyperlink w:anchor="facilities" w:tooltip="Any special facilities needs? Out-of-pattern scheduling? Other?" w:history="1">
              <w:r w:rsidR="00314FB5" w:rsidRPr="00905E67">
                <w:rPr>
                  <w:rStyle w:val="Hyperlink"/>
                  <w:i/>
                </w:rPr>
                <w:t>Facilities</w:t>
              </w:r>
            </w:hyperlink>
            <w:r w:rsidR="00314FB5">
              <w:t>:</w:t>
            </w:r>
          </w:p>
        </w:tc>
        <w:tc>
          <w:tcPr>
            <w:tcW w:w="0" w:type="auto"/>
            <w:gridSpan w:val="4"/>
          </w:tcPr>
          <w:p w14:paraId="3E89DEAC" w14:textId="4C68FE8D" w:rsidR="00AE7262" w:rsidRDefault="00AE7262" w:rsidP="00314FB5">
            <w:bookmarkStart w:id="14" w:name="facilities"/>
            <w:bookmarkEnd w:id="14"/>
            <w:r>
              <w:t xml:space="preserve">Classrooms in the </w:t>
            </w:r>
            <w:r w:rsidR="00F94B85">
              <w:t>evenings</w:t>
            </w:r>
            <w:r>
              <w:t xml:space="preserve"> will be needed.</w:t>
            </w:r>
          </w:p>
          <w:p w14:paraId="0292F066" w14:textId="764C92DA" w:rsidR="00314FB5" w:rsidRPr="00C25F9D" w:rsidRDefault="00314FB5" w:rsidP="00314FB5">
            <w:pPr>
              <w:rPr>
                <w:b/>
              </w:rPr>
            </w:pPr>
          </w:p>
        </w:tc>
      </w:tr>
      <w:tr w:rsidR="00314FB5" w:rsidRPr="006E3AF2" w14:paraId="45835EBD" w14:textId="77777777">
        <w:trPr>
          <w:cantSplit/>
        </w:trPr>
        <w:tc>
          <w:tcPr>
            <w:tcW w:w="1111" w:type="pct"/>
            <w:vAlign w:val="center"/>
          </w:tcPr>
          <w:p w14:paraId="2DD1BD1B" w14:textId="4A303EAE" w:rsidR="00314FB5" w:rsidRPr="00B649C4" w:rsidRDefault="00314FB5" w:rsidP="00314FB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62508175" w14:textId="6FE88150" w:rsidR="00314FB5" w:rsidRPr="0004021D" w:rsidRDefault="0004021D" w:rsidP="00314FB5">
            <w:pPr>
              <w:rPr>
                <w:rFonts w:asciiTheme="minorHAnsi" w:hAnsiTheme="minorHAnsi"/>
              </w:rPr>
            </w:pPr>
            <w:bookmarkStart w:id="15" w:name="prog_impact"/>
            <w:bookmarkEnd w:id="15"/>
            <w:r w:rsidRPr="0004021D">
              <w:rPr>
                <w:rFonts w:asciiTheme="minorHAnsi" w:hAnsiTheme="minorHAnsi"/>
              </w:rPr>
              <w:t xml:space="preserve">No other programs will be impacted. </w:t>
            </w:r>
          </w:p>
        </w:tc>
      </w:tr>
      <w:tr w:rsidR="00314FB5" w:rsidRPr="006E3AF2" w14:paraId="76A97D46" w14:textId="77777777">
        <w:trPr>
          <w:cantSplit/>
        </w:trPr>
        <w:tc>
          <w:tcPr>
            <w:tcW w:w="1111" w:type="pct"/>
            <w:vAlign w:val="center"/>
          </w:tcPr>
          <w:p w14:paraId="5BD64E74" w14:textId="1D744E7E" w:rsidR="00314FB5" w:rsidRDefault="00314FB5" w:rsidP="00314FB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6A52A64E" w14:textId="77777777" w:rsidR="00AE7262" w:rsidRDefault="00AE7262" w:rsidP="00314FB5">
            <w:bookmarkStart w:id="16" w:name="student_impact"/>
            <w:bookmarkEnd w:id="16"/>
          </w:p>
          <w:p w14:paraId="7FC2EEF3" w14:textId="430E7C93" w:rsidR="00AE7262" w:rsidRDefault="00AE7262" w:rsidP="00314FB5">
            <w:r>
              <w:t>N</w:t>
            </w:r>
            <w:r w:rsidR="00912BB8">
              <w:t>ew course</w:t>
            </w:r>
            <w:r w:rsidR="00F94B85">
              <w:t xml:space="preserve"> to replace HCA 535</w:t>
            </w:r>
            <w:r w:rsidR="00912BB8">
              <w:t>. N</w:t>
            </w:r>
            <w:r>
              <w:t xml:space="preserve">o negative impact on students.  </w:t>
            </w:r>
            <w:r w:rsidR="00BB53B7">
              <w:t>T</w:t>
            </w:r>
            <w:r w:rsidR="0021709F">
              <w:t>hose who have completed HCA 535</w:t>
            </w:r>
            <w:r w:rsidR="00BB53B7">
              <w:t xml:space="preserve"> will be able to use this course for their graduation requirements. New students will take the newly developed course. </w:t>
            </w:r>
          </w:p>
          <w:p w14:paraId="478C9128" w14:textId="6C040805" w:rsidR="00314FB5" w:rsidRPr="004D6268" w:rsidRDefault="00314FB5" w:rsidP="00314FB5">
            <w:pPr>
              <w:rPr>
                <w:rFonts w:asciiTheme="minorHAnsi" w:hAnsiTheme="minorHAnsi"/>
                <w:b/>
              </w:rPr>
            </w:pPr>
          </w:p>
        </w:tc>
      </w:tr>
      <w:tr w:rsidR="00314FB5" w:rsidRPr="006E3AF2" w14:paraId="7F91BB6B" w14:textId="77777777">
        <w:trPr>
          <w:cantSplit/>
        </w:trPr>
        <w:tc>
          <w:tcPr>
            <w:tcW w:w="5000" w:type="pct"/>
            <w:gridSpan w:val="6"/>
            <w:vAlign w:val="center"/>
          </w:tcPr>
          <w:p w14:paraId="063EC5DD" w14:textId="77777777" w:rsidR="00003097" w:rsidRDefault="00314FB5" w:rsidP="00314FB5">
            <w:r>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Include only relevant pages. If new copy, clearly indicate location." w:history="1">
              <w:r>
                <w:rPr>
                  <w:rStyle w:val="Hyperlink"/>
                </w:rPr>
                <w:t xml:space="preserve"> </w:t>
              </w:r>
              <w:r w:rsidRPr="003C1A54">
                <w:rPr>
                  <w:rStyle w:val="Hyperlink"/>
                </w:rPr>
                <w:t>Catalog page</w:t>
              </w:r>
              <w:bookmarkStart w:id="17" w:name="catalog"/>
              <w:bookmarkEnd w:id="17"/>
              <w:r>
                <w:rPr>
                  <w:rStyle w:val="Hyperlink"/>
                </w:rPr>
                <w:t>.</w:t>
              </w:r>
              <w:r w:rsidRPr="003C1A54">
                <w:rPr>
                  <w:rStyle w:val="Hyperlink"/>
                </w:rPr>
                <w:t xml:space="preserve">  </w:t>
              </w:r>
            </w:hyperlink>
            <w:r>
              <w:t xml:space="preserve"> </w:t>
            </w:r>
            <w:hyperlink w:anchor="catalog" w:tooltip="Generate copy from files included at the base of the Graduate Committee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r w:rsidR="00003097">
              <w:t xml:space="preserve"> </w:t>
            </w:r>
          </w:p>
          <w:p w14:paraId="0A182B8E" w14:textId="77777777" w:rsidR="00003097" w:rsidRDefault="00003097" w:rsidP="00314FB5"/>
          <w:p w14:paraId="5F37ED26" w14:textId="794F4D4F" w:rsidR="00314FB5" w:rsidRPr="007072F7" w:rsidRDefault="00314FB5" w:rsidP="00314FB5">
            <w:pPr>
              <w:rPr>
                <w:sz w:val="20"/>
              </w:rPr>
            </w:pPr>
          </w:p>
        </w:tc>
      </w:tr>
    </w:tbl>
    <w:p w14:paraId="14CFF84D" w14:textId="77777777" w:rsidR="00F64260" w:rsidRDefault="00F64260" w:rsidP="00B862BF"/>
    <w:p w14:paraId="09756257" w14:textId="4C00BA25"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171B25DF" w:rsidR="00F64260" w:rsidRPr="00B958AB" w:rsidRDefault="00F64260" w:rsidP="001429AA">
            <w:pPr>
              <w:spacing w:line="240" w:lineRule="auto"/>
            </w:pPr>
            <w:bookmarkStart w:id="18" w:name="cours_title"/>
            <w:bookmarkEnd w:id="18"/>
          </w:p>
        </w:tc>
        <w:tc>
          <w:tcPr>
            <w:tcW w:w="3924" w:type="dxa"/>
            <w:noWrap/>
          </w:tcPr>
          <w:p w14:paraId="72E4032F" w14:textId="48934A04" w:rsidR="00F64260" w:rsidRPr="00B958AB" w:rsidRDefault="00F94B85" w:rsidP="001429AA">
            <w:pPr>
              <w:spacing w:line="240" w:lineRule="auto"/>
            </w:pPr>
            <w:r>
              <w:t xml:space="preserve">HCA </w:t>
            </w:r>
            <w:r w:rsidR="00DB607F">
              <w:t>545</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6C027B4D" w:rsidR="00F64260" w:rsidRPr="009F029C" w:rsidRDefault="00F64260" w:rsidP="001429AA">
            <w:pPr>
              <w:spacing w:line="240" w:lineRule="auto"/>
              <w:rPr>
                <w:b/>
              </w:rPr>
            </w:pPr>
          </w:p>
        </w:tc>
        <w:tc>
          <w:tcPr>
            <w:tcW w:w="3924" w:type="dxa"/>
            <w:noWrap/>
          </w:tcPr>
          <w:p w14:paraId="2FF72528" w14:textId="6580FDFF"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01F30497" w:rsidR="00F64260" w:rsidRPr="002C675F" w:rsidRDefault="00F64260" w:rsidP="001429AA">
            <w:pPr>
              <w:spacing w:line="240" w:lineRule="auto"/>
              <w:rPr>
                <w:rFonts w:ascii="Times New Roman" w:hAnsi="Times New Roman"/>
              </w:rPr>
            </w:pPr>
            <w:bookmarkStart w:id="19" w:name="title"/>
            <w:bookmarkEnd w:id="19"/>
          </w:p>
        </w:tc>
        <w:tc>
          <w:tcPr>
            <w:tcW w:w="3924" w:type="dxa"/>
            <w:noWrap/>
          </w:tcPr>
          <w:p w14:paraId="001F0A12" w14:textId="26B228E7" w:rsidR="00F64260" w:rsidRPr="009F029C" w:rsidRDefault="00DB607F" w:rsidP="00DB607F">
            <w:pPr>
              <w:tabs>
                <w:tab w:val="left" w:pos="1395"/>
              </w:tabs>
              <w:rPr>
                <w:b/>
              </w:rPr>
            </w:pPr>
            <w:r>
              <w:rPr>
                <w:rFonts w:ascii="Times New Roman" w:hAnsi="Times New Roman"/>
                <w:sz w:val="24"/>
                <w:szCs w:val="24"/>
              </w:rPr>
              <w:t>Managing Health Care Organizations</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20977A05" w:rsidR="00F64260" w:rsidRPr="00D14427" w:rsidRDefault="00F64260" w:rsidP="009F029C">
            <w:pPr>
              <w:tabs>
                <w:tab w:val="left" w:pos="690"/>
              </w:tabs>
              <w:spacing w:line="240" w:lineRule="auto"/>
              <w:rPr>
                <w:rFonts w:asciiTheme="minorHAnsi" w:hAnsiTheme="minorHAnsi"/>
                <w:b/>
              </w:rPr>
            </w:pPr>
            <w:bookmarkStart w:id="20" w:name="description"/>
            <w:bookmarkEnd w:id="20"/>
          </w:p>
        </w:tc>
        <w:tc>
          <w:tcPr>
            <w:tcW w:w="3924" w:type="dxa"/>
            <w:noWrap/>
          </w:tcPr>
          <w:p w14:paraId="2056257B" w14:textId="1B5160CD" w:rsidR="00C94AF2" w:rsidRPr="00BB53B7" w:rsidRDefault="00C94AF2" w:rsidP="00C94AF2">
            <w:pPr>
              <w:spacing w:line="216" w:lineRule="auto"/>
              <w:rPr>
                <w:b/>
                <w:color w:val="E48312"/>
              </w:rPr>
            </w:pPr>
            <w:r w:rsidRPr="00BB53B7">
              <w:rPr>
                <w:rFonts w:eastAsiaTheme="minorEastAsia"/>
                <w:b/>
                <w:bCs/>
                <w:color w:val="404040" w:themeColor="text1" w:themeTint="BF"/>
                <w:kern w:val="24"/>
              </w:rPr>
              <w:t>Students explore the prin</w:t>
            </w:r>
            <w:r w:rsidR="00217344">
              <w:rPr>
                <w:rFonts w:eastAsiaTheme="minorEastAsia"/>
                <w:b/>
                <w:bCs/>
                <w:color w:val="404040" w:themeColor="text1" w:themeTint="BF"/>
                <w:kern w:val="24"/>
              </w:rPr>
              <w:t>ciples and processes of</w:t>
            </w:r>
            <w:r w:rsidRPr="00BB53B7">
              <w:rPr>
                <w:rFonts w:eastAsiaTheme="minorEastAsia"/>
                <w:b/>
                <w:bCs/>
                <w:color w:val="404040" w:themeColor="text1" w:themeTint="BF"/>
                <w:kern w:val="24"/>
              </w:rPr>
              <w:t xml:space="preserve"> </w:t>
            </w:r>
            <w:r w:rsidR="00217344">
              <w:rPr>
                <w:rFonts w:eastAsiaTheme="minorEastAsia"/>
                <w:b/>
                <w:bCs/>
                <w:color w:val="404040" w:themeColor="text1" w:themeTint="BF"/>
                <w:kern w:val="24"/>
              </w:rPr>
              <w:t>health</w:t>
            </w:r>
            <w:r w:rsidR="00DB607F" w:rsidRPr="00BB53B7">
              <w:rPr>
                <w:rFonts w:eastAsiaTheme="minorEastAsia"/>
                <w:b/>
                <w:bCs/>
                <w:color w:val="404040" w:themeColor="text1" w:themeTint="BF"/>
                <w:kern w:val="24"/>
              </w:rPr>
              <w:t>care management</w:t>
            </w:r>
            <w:r w:rsidRPr="00BB53B7">
              <w:rPr>
                <w:rFonts w:eastAsiaTheme="minorEastAsia"/>
                <w:b/>
                <w:bCs/>
                <w:color w:val="404040" w:themeColor="text1" w:themeTint="BF"/>
                <w:kern w:val="24"/>
              </w:rPr>
              <w:t>. </w:t>
            </w:r>
            <w:r w:rsidR="002A50CF" w:rsidRPr="00BB53B7">
              <w:rPr>
                <w:rFonts w:eastAsiaTheme="minorEastAsia"/>
                <w:b/>
                <w:bCs/>
                <w:color w:val="404040" w:themeColor="text1" w:themeTint="BF"/>
                <w:kern w:val="24"/>
              </w:rPr>
              <w:t xml:space="preserve">Service delivery, program design, strategic positioning, </w:t>
            </w:r>
            <w:r w:rsidR="00217344">
              <w:rPr>
                <w:rFonts w:eastAsiaTheme="minorEastAsia"/>
                <w:b/>
                <w:bCs/>
                <w:color w:val="404040" w:themeColor="text1" w:themeTint="BF"/>
                <w:kern w:val="24"/>
              </w:rPr>
              <w:t xml:space="preserve">theories, </w:t>
            </w:r>
            <w:r w:rsidR="002A50CF" w:rsidRPr="00BB53B7">
              <w:rPr>
                <w:rFonts w:eastAsiaTheme="minorEastAsia"/>
                <w:b/>
                <w:bCs/>
                <w:color w:val="404040" w:themeColor="text1" w:themeTint="BF"/>
                <w:kern w:val="24"/>
              </w:rPr>
              <w:t>service marketing, cultural acuity, collaboration and competition will be</w:t>
            </w:r>
            <w:r w:rsidR="00217344">
              <w:rPr>
                <w:rFonts w:eastAsiaTheme="minorEastAsia"/>
                <w:b/>
                <w:bCs/>
                <w:color w:val="404040" w:themeColor="text1" w:themeTint="BF"/>
                <w:kern w:val="24"/>
              </w:rPr>
              <w:t xml:space="preserve"> examined</w:t>
            </w:r>
            <w:r w:rsidR="002A50CF" w:rsidRPr="00BB53B7">
              <w:rPr>
                <w:rFonts w:eastAsiaTheme="minorEastAsia"/>
                <w:b/>
                <w:bCs/>
                <w:color w:val="404040" w:themeColor="text1" w:themeTint="BF"/>
                <w:kern w:val="24"/>
              </w:rPr>
              <w:t>.</w:t>
            </w:r>
          </w:p>
          <w:p w14:paraId="2DB344D2" w14:textId="1F65FB87" w:rsidR="00C94AF2" w:rsidRPr="00461065" w:rsidRDefault="00C94AF2" w:rsidP="001429AA">
            <w:pPr>
              <w:spacing w:line="240" w:lineRule="auto"/>
              <w:rPr>
                <w:rFonts w:asciiTheme="minorHAnsi" w:hAnsiTheme="minorHAnsi"/>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534DD349" w:rsidR="00F64260" w:rsidRPr="00474360" w:rsidRDefault="00F64260" w:rsidP="001429AA">
            <w:pPr>
              <w:spacing w:line="240" w:lineRule="auto"/>
              <w:rPr>
                <w:rFonts w:asciiTheme="minorHAnsi" w:hAnsiTheme="minorHAnsi"/>
                <w:b/>
              </w:rPr>
            </w:pPr>
            <w:bookmarkStart w:id="21" w:name="prereqs"/>
            <w:bookmarkEnd w:id="21"/>
          </w:p>
        </w:tc>
        <w:tc>
          <w:tcPr>
            <w:tcW w:w="3924" w:type="dxa"/>
            <w:noWrap/>
          </w:tcPr>
          <w:p w14:paraId="25AD2BD3" w14:textId="77777777" w:rsidR="007C0B58" w:rsidRDefault="007C0B58" w:rsidP="007C0B58">
            <w:pPr>
              <w:spacing w:line="276" w:lineRule="auto"/>
              <w:rPr>
                <w:rFonts w:cs="Arial"/>
              </w:rPr>
            </w:pPr>
          </w:p>
          <w:p w14:paraId="44B74880" w14:textId="282CF318" w:rsidR="007C0B58" w:rsidRPr="00401289" w:rsidRDefault="00DB607F" w:rsidP="0045277A">
            <w:pPr>
              <w:spacing w:line="276" w:lineRule="auto"/>
            </w:pPr>
            <w:r>
              <w:rPr>
                <w:rFonts w:cs="Arial"/>
              </w:rPr>
              <w:t>Acceptance into graduate HCA program or permission of HCA Director</w:t>
            </w:r>
          </w:p>
          <w:p w14:paraId="350312DB" w14:textId="2A72C846" w:rsidR="00F64260" w:rsidRPr="00474360" w:rsidRDefault="00F64260">
            <w:pPr>
              <w:spacing w:line="240" w:lineRule="auto"/>
              <w:rPr>
                <w:rFonts w:asciiTheme="minorHAnsi" w:hAnsiTheme="minorHAnsi"/>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0652E7B1" w:rsidR="00F64260" w:rsidRPr="009F029C" w:rsidRDefault="00F64260" w:rsidP="000A36CD">
            <w:pPr>
              <w:spacing w:line="240" w:lineRule="auto"/>
              <w:rPr>
                <w:b/>
                <w:sz w:val="20"/>
              </w:rPr>
            </w:pPr>
          </w:p>
        </w:tc>
        <w:tc>
          <w:tcPr>
            <w:tcW w:w="3924" w:type="dxa"/>
            <w:noWrap/>
          </w:tcPr>
          <w:p w14:paraId="6E8FAD04" w14:textId="5D241FD9" w:rsidR="00697B50" w:rsidRPr="009F029C" w:rsidRDefault="002E01AA" w:rsidP="00E50599">
            <w:pPr>
              <w:spacing w:line="240" w:lineRule="auto"/>
              <w:rPr>
                <w:b/>
                <w:sz w:val="20"/>
              </w:rPr>
            </w:pPr>
            <w:r w:rsidRPr="000C5911">
              <w:rPr>
                <w:rFonts w:ascii="Times New Roman" w:eastAsia="MS Mincho" w:hAnsi="Times New Roman"/>
                <w:b/>
                <w:sz w:val="24"/>
                <w:szCs w:val="24"/>
              </w:rPr>
              <w:t xml:space="preserve">Offered </w:t>
            </w:r>
            <w:r w:rsidR="009F1572">
              <w:rPr>
                <w:rFonts w:ascii="Times New Roman" w:eastAsia="MS Mincho" w:hAnsi="Times New Roman"/>
                <w:b/>
                <w:sz w:val="24"/>
                <w:szCs w:val="24"/>
              </w:rPr>
              <w:t>a</w:t>
            </w:r>
            <w:r w:rsidR="00697B50">
              <w:rPr>
                <w:rFonts w:ascii="Times New Roman" w:eastAsia="MS Mincho" w:hAnsi="Times New Roman"/>
                <w:b/>
                <w:sz w:val="24"/>
                <w:szCs w:val="24"/>
              </w:rPr>
              <w:t>nnually</w:t>
            </w:r>
            <w:r w:rsidR="009F1572">
              <w:rPr>
                <w:rFonts w:ascii="Times New Roman" w:eastAsia="MS Mincho" w:hAnsi="Times New Roman"/>
                <w:b/>
                <w:sz w:val="24"/>
                <w:szCs w:val="24"/>
              </w:rPr>
              <w:t>.</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02500090" w:rsidR="00F64260" w:rsidRPr="009F029C" w:rsidRDefault="00F64260" w:rsidP="001429AA">
            <w:pPr>
              <w:spacing w:line="240" w:lineRule="auto"/>
              <w:rPr>
                <w:b/>
              </w:rPr>
            </w:pPr>
            <w:bookmarkStart w:id="22" w:name="contacthours"/>
            <w:bookmarkEnd w:id="22"/>
          </w:p>
        </w:tc>
        <w:tc>
          <w:tcPr>
            <w:tcW w:w="3924" w:type="dxa"/>
            <w:noWrap/>
          </w:tcPr>
          <w:p w14:paraId="790915FC" w14:textId="3DD1689A" w:rsidR="00F64260" w:rsidRPr="009F029C" w:rsidRDefault="00474360" w:rsidP="001429AA">
            <w:pPr>
              <w:spacing w:line="240" w:lineRule="auto"/>
              <w:rPr>
                <w:b/>
              </w:rPr>
            </w:pPr>
            <w:r>
              <w:rPr>
                <w:b/>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983F0CA" w:rsidR="00F64260" w:rsidRPr="009F029C" w:rsidRDefault="00F64260" w:rsidP="001429AA">
            <w:pPr>
              <w:spacing w:line="240" w:lineRule="auto"/>
              <w:rPr>
                <w:b/>
              </w:rPr>
            </w:pPr>
            <w:bookmarkStart w:id="23" w:name="credits"/>
            <w:bookmarkEnd w:id="23"/>
          </w:p>
        </w:tc>
        <w:tc>
          <w:tcPr>
            <w:tcW w:w="3924" w:type="dxa"/>
            <w:noWrap/>
          </w:tcPr>
          <w:p w14:paraId="4F70C16F" w14:textId="7FEB0042" w:rsidR="00F64260" w:rsidRPr="009F029C" w:rsidRDefault="0065423E" w:rsidP="001429AA">
            <w:pPr>
              <w:spacing w:line="240" w:lineRule="auto"/>
              <w:rPr>
                <w:b/>
              </w:rPr>
            </w:pPr>
            <w:r>
              <w:rPr>
                <w:b/>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4" w:name="differences"/>
            <w:bookmarkEnd w:id="24"/>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52BC8CE9" w:rsidR="00F64260" w:rsidRPr="009F029C" w:rsidRDefault="00F64260" w:rsidP="001429AA">
            <w:pPr>
              <w:spacing w:line="240" w:lineRule="auto"/>
              <w:rPr>
                <w:b/>
                <w:sz w:val="20"/>
              </w:rPr>
            </w:pPr>
          </w:p>
        </w:tc>
        <w:tc>
          <w:tcPr>
            <w:tcW w:w="3924" w:type="dxa"/>
            <w:noWrap/>
          </w:tcPr>
          <w:p w14:paraId="32C16048" w14:textId="2F8FC3B4" w:rsidR="00F64260" w:rsidRPr="009F029C" w:rsidRDefault="00F64260" w:rsidP="00C25F9D">
            <w:pPr>
              <w:spacing w:line="240" w:lineRule="auto"/>
              <w:rPr>
                <w:b/>
                <w:sz w:val="20"/>
              </w:rPr>
            </w:pPr>
            <w:r w:rsidRPr="009F029C">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2DB88515" w:rsidR="00F64260" w:rsidRPr="009F029C" w:rsidRDefault="00F64260" w:rsidP="0027634D">
            <w:pPr>
              <w:spacing w:line="240" w:lineRule="auto"/>
              <w:rPr>
                <w:b/>
                <w:sz w:val="20"/>
              </w:rPr>
            </w:pPr>
            <w:bookmarkStart w:id="25" w:name="instr_methods"/>
            <w:bookmarkEnd w:id="25"/>
          </w:p>
        </w:tc>
        <w:tc>
          <w:tcPr>
            <w:tcW w:w="3924" w:type="dxa"/>
            <w:noWrap/>
          </w:tcPr>
          <w:p w14:paraId="24635EC8" w14:textId="5A834CBC" w:rsidR="00F00EC5" w:rsidRPr="00DB607F" w:rsidRDefault="006B2253" w:rsidP="00A76B76">
            <w:pPr>
              <w:spacing w:line="240" w:lineRule="auto"/>
              <w:rPr>
                <w:b/>
                <w:color w:val="0070C0"/>
                <w:sz w:val="20"/>
              </w:rPr>
            </w:pPr>
            <w:r w:rsidRPr="009F029C">
              <w:rPr>
                <w:b/>
                <w:sz w:val="20"/>
              </w:rPr>
              <w:t xml:space="preserve">Fieldwork </w:t>
            </w:r>
            <w:r w:rsidR="00F00EC5" w:rsidRPr="009F029C">
              <w:rPr>
                <w:b/>
                <w:sz w:val="20"/>
              </w:rPr>
              <w:t>Lecture |</w:t>
            </w:r>
            <w:r w:rsidR="00F64260" w:rsidRPr="009F029C">
              <w:rPr>
                <w:rFonts w:ascii="MS Mincho" w:eastAsia="MS Mincho" w:hAnsi="MS Mincho" w:cs="MS Mincho"/>
                <w:b/>
                <w:sz w:val="20"/>
              </w:rPr>
              <w:t xml:space="preserve"> </w:t>
            </w:r>
            <w:r w:rsidR="00DE645F">
              <w:rPr>
                <w:b/>
                <w:sz w:val="20"/>
              </w:rPr>
              <w:t xml:space="preserve">Practicum </w:t>
            </w:r>
            <w:r w:rsidR="00F64260" w:rsidRPr="009F029C">
              <w:rPr>
                <w:rFonts w:ascii="MS Mincho" w:eastAsia="MS Mincho" w:hAnsi="MS Mincho" w:cs="MS Mincho"/>
                <w:b/>
                <w:sz w:val="20"/>
              </w:rPr>
              <w:t xml:space="preserve">| </w:t>
            </w:r>
            <w:r w:rsidR="00F64260" w:rsidRPr="00DB607F">
              <w:rPr>
                <w:b/>
                <w:color w:val="0070C0"/>
                <w:sz w:val="20"/>
              </w:rPr>
              <w:t xml:space="preserve">Seminar  </w:t>
            </w:r>
            <w:r w:rsidR="00F64260" w:rsidRPr="00DB607F">
              <w:rPr>
                <w:rFonts w:ascii="MS Mincho" w:eastAsia="MS Mincho" w:hAnsi="MS Mincho" w:cs="MS Mincho"/>
                <w:b/>
                <w:color w:val="0070C0"/>
                <w:sz w:val="20"/>
              </w:rPr>
              <w:t xml:space="preserve">| </w:t>
            </w:r>
            <w:r w:rsidR="00F64260" w:rsidRPr="00DB607F">
              <w:rPr>
                <w:b/>
                <w:color w:val="0070C0"/>
                <w:sz w:val="20"/>
              </w:rPr>
              <w:t xml:space="preserve">Small group | Individual |  </w:t>
            </w:r>
          </w:p>
          <w:p w14:paraId="1FE5962F" w14:textId="59AB86E8" w:rsidR="00F64260" w:rsidRPr="009F029C" w:rsidRDefault="0065423E" w:rsidP="00A76B76">
            <w:pPr>
              <w:spacing w:line="240" w:lineRule="auto"/>
              <w:rPr>
                <w:b/>
                <w:sz w:val="20"/>
              </w:rPr>
            </w:pPr>
            <w:r w:rsidRPr="00DE645F">
              <w:rPr>
                <w:b/>
                <w:sz w:val="20"/>
              </w:rPr>
              <w:t>50</w:t>
            </w:r>
            <w:r w:rsidR="00F64260" w:rsidRPr="00DE645F">
              <w:rPr>
                <w:b/>
                <w:sz w:val="20"/>
              </w:rPr>
              <w:t xml:space="preserve"> </w:t>
            </w:r>
            <w:hyperlink w:anchor="Online" w:tooltip="If selected, indicate the percentage of course time spent online" w:history="1">
              <w:r w:rsidR="00F64260" w:rsidRPr="00DE645F">
                <w:rPr>
                  <w:rStyle w:val="Hyperlink"/>
                  <w:b/>
                  <w:color w:val="auto"/>
                  <w:sz w:val="20"/>
                </w:rPr>
                <w:t>% Online</w:t>
              </w:r>
            </w:hyperlink>
            <w:r w:rsidR="00F64260" w:rsidRPr="00DE645F">
              <w:rPr>
                <w:b/>
                <w:sz w:val="20"/>
              </w:rPr>
              <w:t xml:space="preserve">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276D43F" w:rsidR="00F64260" w:rsidRPr="009F029C" w:rsidRDefault="00F64260" w:rsidP="00A87611">
            <w:pPr>
              <w:spacing w:line="240" w:lineRule="auto"/>
              <w:rPr>
                <w:b/>
                <w:sz w:val="20"/>
              </w:rPr>
            </w:pPr>
            <w:bookmarkStart w:id="26" w:name="required"/>
            <w:bookmarkEnd w:id="26"/>
          </w:p>
        </w:tc>
        <w:tc>
          <w:tcPr>
            <w:tcW w:w="3924" w:type="dxa"/>
            <w:noWrap/>
          </w:tcPr>
          <w:p w14:paraId="460254CA" w14:textId="4EBE517D" w:rsidR="00F64260" w:rsidRPr="009F029C" w:rsidRDefault="00F64260" w:rsidP="001A51ED">
            <w:pPr>
              <w:spacing w:line="240" w:lineRule="auto"/>
              <w:rPr>
                <w:b/>
                <w:sz w:val="20"/>
              </w:rPr>
            </w:pPr>
            <w:r w:rsidRPr="009F029C">
              <w:rPr>
                <w:b/>
                <w:sz w:val="20"/>
              </w:rPr>
              <w:t xml:space="preserve">Required for </w:t>
            </w:r>
            <w:r w:rsidR="007C0B58">
              <w:rPr>
                <w:b/>
                <w:sz w:val="20"/>
              </w:rPr>
              <w:t>program</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3C329D6" w14:textId="2DE63F09" w:rsidR="00F64260" w:rsidRPr="009F029C" w:rsidRDefault="00F64260" w:rsidP="0027634D">
            <w:pPr>
              <w:spacing w:line="240" w:lineRule="auto"/>
              <w:rPr>
                <w:b/>
                <w:sz w:val="20"/>
              </w:rPr>
            </w:pPr>
            <w:bookmarkStart w:id="27" w:name="performance"/>
            <w:bookmarkEnd w:id="27"/>
            <w:r w:rsidRPr="009F029C">
              <w:rPr>
                <w:b/>
                <w:sz w:val="20"/>
              </w:rPr>
              <w:t xml:space="preserve"> </w:t>
            </w:r>
          </w:p>
          <w:p w14:paraId="5128E2F0" w14:textId="0BD8838F" w:rsidR="00F64260" w:rsidRPr="009F029C" w:rsidRDefault="00F64260" w:rsidP="0027634D">
            <w:pPr>
              <w:spacing w:line="240" w:lineRule="auto"/>
              <w:rPr>
                <w:b/>
                <w:sz w:val="20"/>
              </w:rPr>
            </w:pPr>
          </w:p>
        </w:tc>
        <w:tc>
          <w:tcPr>
            <w:tcW w:w="3924" w:type="dxa"/>
            <w:noWrap/>
          </w:tcPr>
          <w:p w14:paraId="2896F61E" w14:textId="395DA28A" w:rsidR="00F64260" w:rsidRPr="00DB607F" w:rsidRDefault="006B2253" w:rsidP="0027634D">
            <w:pPr>
              <w:spacing w:line="240" w:lineRule="auto"/>
              <w:rPr>
                <w:rFonts w:ascii="MS Mincho" w:eastAsia="MS Mincho" w:hAnsi="MS Mincho" w:cs="MS Mincho"/>
                <w:b/>
                <w:color w:val="0070C0"/>
                <w:sz w:val="20"/>
              </w:rPr>
            </w:pPr>
            <w:r w:rsidRPr="009F029C">
              <w:rPr>
                <w:b/>
                <w:sz w:val="20"/>
              </w:rPr>
              <w:t>Attendance |</w:t>
            </w:r>
            <w:r w:rsidR="00F64260" w:rsidRPr="009F029C">
              <w:rPr>
                <w:rFonts w:ascii="MS Mincho" w:eastAsia="MS Mincho" w:hAnsi="MS Mincho" w:cs="MS Mincho"/>
                <w:b/>
                <w:sz w:val="20"/>
              </w:rPr>
              <w:t xml:space="preserve"> </w:t>
            </w:r>
            <w:r w:rsidR="00F64260" w:rsidRPr="00DB607F">
              <w:rPr>
                <w:b/>
                <w:color w:val="0070C0"/>
                <w:sz w:val="20"/>
              </w:rPr>
              <w:t xml:space="preserve">Class participation </w:t>
            </w:r>
            <w:r w:rsidR="00F64260" w:rsidRPr="00DB607F">
              <w:rPr>
                <w:rFonts w:ascii="MS Mincho" w:eastAsia="MS Mincho" w:hAnsi="MS Mincho" w:cs="MS Mincho"/>
                <w:b/>
                <w:color w:val="0070C0"/>
                <w:sz w:val="20"/>
              </w:rPr>
              <w:t>|</w:t>
            </w:r>
            <w:r w:rsidR="00F64260" w:rsidRPr="00DB607F">
              <w:rPr>
                <w:b/>
                <w:color w:val="0070C0"/>
                <w:sz w:val="20"/>
              </w:rPr>
              <w:t xml:space="preserve">  </w:t>
            </w:r>
            <w:r w:rsidR="00F64260" w:rsidRPr="00DB607F">
              <w:rPr>
                <w:rFonts w:ascii="MS Mincho" w:eastAsia="MS Mincho" w:hAnsi="MS Mincho" w:cs="MS Mincho"/>
                <w:b/>
                <w:color w:val="0070C0"/>
                <w:sz w:val="20"/>
              </w:rPr>
              <w:t xml:space="preserve"> </w:t>
            </w:r>
            <w:r w:rsidR="00F64260" w:rsidRPr="00DB607F">
              <w:rPr>
                <w:b/>
                <w:color w:val="0070C0"/>
                <w:sz w:val="20"/>
              </w:rPr>
              <w:t xml:space="preserve"> </w:t>
            </w:r>
            <w:r w:rsidR="009E7A61" w:rsidRPr="00DB607F">
              <w:rPr>
                <w:b/>
                <w:color w:val="0070C0"/>
                <w:sz w:val="20"/>
              </w:rPr>
              <w:t>Presentations |</w:t>
            </w:r>
            <w:r w:rsidR="00F64260" w:rsidRPr="00DB607F">
              <w:rPr>
                <w:rFonts w:ascii="MS Mincho" w:eastAsia="MS Mincho" w:hAnsi="MS Mincho" w:cs="MS Mincho"/>
                <w:b/>
                <w:color w:val="0070C0"/>
                <w:sz w:val="20"/>
              </w:rPr>
              <w:t xml:space="preserve"> </w:t>
            </w:r>
            <w:r w:rsidR="009E7A61" w:rsidRPr="00DB607F">
              <w:rPr>
                <w:b/>
                <w:color w:val="0070C0"/>
                <w:sz w:val="20"/>
              </w:rPr>
              <w:t>Papers |</w:t>
            </w:r>
            <w:r w:rsidR="00F64260" w:rsidRPr="00DB607F">
              <w:rPr>
                <w:rFonts w:ascii="MS Mincho" w:eastAsia="MS Mincho" w:hAnsi="MS Mincho" w:cs="MS Mincho"/>
                <w:b/>
                <w:color w:val="0070C0"/>
                <w:sz w:val="20"/>
              </w:rPr>
              <w:t xml:space="preserve"> </w:t>
            </w:r>
          </w:p>
          <w:p w14:paraId="426CAA13" w14:textId="642260F3" w:rsidR="00F64260" w:rsidRPr="009F029C" w:rsidRDefault="00F64260" w:rsidP="0027634D">
            <w:pPr>
              <w:spacing w:line="240" w:lineRule="auto"/>
              <w:rPr>
                <w:b/>
                <w:sz w:val="20"/>
              </w:rPr>
            </w:pPr>
            <w:r w:rsidRPr="00DB607F">
              <w:rPr>
                <w:b/>
                <w:color w:val="0070C0"/>
                <w:sz w:val="20"/>
              </w:rPr>
              <w:t xml:space="preserve">Class </w:t>
            </w:r>
            <w:r w:rsidR="006B2253" w:rsidRPr="00DB607F">
              <w:rPr>
                <w:b/>
                <w:color w:val="0070C0"/>
                <w:sz w:val="20"/>
              </w:rPr>
              <w:t xml:space="preserve">Work </w:t>
            </w:r>
            <w:r w:rsidR="006B2253" w:rsidRPr="009F029C">
              <w:rPr>
                <w:b/>
                <w:sz w:val="20"/>
              </w:rPr>
              <w:t>|</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005D77A0">
              <w:rPr>
                <w:rFonts w:ascii="MS Mincho" w:eastAsia="MS Mincho" w:hAnsi="MS Mincho" w:cs="MS Mincho"/>
                <w:b/>
                <w:sz w:val="20"/>
              </w:rPr>
              <w:t>Portfolio</w:t>
            </w:r>
          </w:p>
          <w:p w14:paraId="5DC57830" w14:textId="7DFA1ADF" w:rsidR="00F64260" w:rsidRPr="009F029C" w:rsidRDefault="00F64260" w:rsidP="0027634D">
            <w:pPr>
              <w:spacing w:line="240" w:lineRule="auto"/>
              <w:rPr>
                <w:b/>
                <w:sz w:val="20"/>
              </w:rPr>
            </w:pPr>
            <w:r w:rsidRPr="009F029C">
              <w:rPr>
                <w:b/>
                <w:sz w:val="20"/>
              </w:rPr>
              <w:t xml:space="preserve">Projects  </w:t>
            </w:r>
          </w:p>
          <w:p w14:paraId="7BA0A8BE" w14:textId="6B415371"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27E79F62" w:rsidR="00F64260" w:rsidRPr="006E3AF2" w:rsidRDefault="0048308F" w:rsidP="00BB11B9">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182AA2AA" w14:textId="77777777" w:rsidR="00F64260" w:rsidRPr="009F029C" w:rsidRDefault="00F64260" w:rsidP="001429AA">
            <w:pPr>
              <w:spacing w:line="240" w:lineRule="auto"/>
              <w:rPr>
                <w:b/>
              </w:rPr>
            </w:pPr>
            <w:bookmarkStart w:id="28" w:name="competing"/>
            <w:bookmarkEnd w:id="28"/>
          </w:p>
        </w:tc>
        <w:tc>
          <w:tcPr>
            <w:tcW w:w="3924" w:type="dxa"/>
            <w:noWrap/>
          </w:tcPr>
          <w:p w14:paraId="36AF007E" w14:textId="2E553C64" w:rsidR="00F64260" w:rsidRPr="009F029C" w:rsidRDefault="001D17AE" w:rsidP="001429AA">
            <w:pPr>
              <w:spacing w:line="240" w:lineRule="auto"/>
              <w:rPr>
                <w:b/>
              </w:rPr>
            </w:pPr>
            <w:r>
              <w:rPr>
                <w:b/>
              </w:rPr>
              <w:t>NA</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55158C48" w:rsidR="00645DE7" w:rsidRDefault="00645DE7">
      <w:pPr>
        <w:spacing w:line="240" w:lineRule="auto"/>
      </w:pPr>
    </w:p>
    <w:p w14:paraId="36B37B80" w14:textId="77777777" w:rsidR="00645DE7" w:rsidRDefault="00645DE7">
      <w:pPr>
        <w:spacing w:line="240" w:lineRule="auto"/>
      </w:pPr>
      <w:r>
        <w:br w:type="page"/>
      </w:r>
    </w:p>
    <w:p w14:paraId="3FB670E3"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699"/>
        <w:gridCol w:w="4672"/>
      </w:tblGrid>
      <w:tr w:rsidR="005E6556" w:rsidRPr="00402602" w14:paraId="04B456C7" w14:textId="77777777">
        <w:trPr>
          <w:cantSplit/>
          <w:tblHeader/>
        </w:trPr>
        <w:tc>
          <w:tcPr>
            <w:tcW w:w="4518" w:type="dxa"/>
          </w:tcPr>
          <w:p w14:paraId="08F83F6A" w14:textId="507A6A52" w:rsidR="00F64260" w:rsidRPr="00402602" w:rsidRDefault="00896897" w:rsidP="00D64DF4">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6A56C9F" w14:textId="3F1AF039" w:rsidR="00F64260" w:rsidRPr="00402602" w:rsidRDefault="00D73AC6">
            <w:pPr>
              <w:spacing w:line="240" w:lineRule="auto"/>
              <w:rPr>
                <w:b/>
              </w:rPr>
            </w:pPr>
            <w:hyperlink w:anchor="standards" w:tooltip="Enter numbers/codes of program outcomes, professional organization standards, or any other standards you use, if applicable." w:history="1">
              <w:r w:rsidR="00F64260" w:rsidRPr="00402602">
                <w:rPr>
                  <w:rStyle w:val="Hyperlink"/>
                  <w:b/>
                </w:rPr>
                <w:t>Standard(s)</w:t>
              </w:r>
            </w:hyperlink>
          </w:p>
        </w:tc>
        <w:tc>
          <w:tcPr>
            <w:tcW w:w="4788" w:type="dxa"/>
          </w:tcPr>
          <w:p w14:paraId="0344E290" w14:textId="5FC33B23" w:rsidR="00F64260" w:rsidRPr="00402602" w:rsidRDefault="00D73AC6" w:rsidP="00D64DF4">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they be measured?</w:t>
              </w:r>
            </w:hyperlink>
          </w:p>
        </w:tc>
      </w:tr>
      <w:tr w:rsidR="005E6556" w14:paraId="7B7D4A96" w14:textId="77777777">
        <w:trPr>
          <w:cantSplit/>
        </w:trPr>
        <w:tc>
          <w:tcPr>
            <w:tcW w:w="4518" w:type="dxa"/>
          </w:tcPr>
          <w:p w14:paraId="1571C712" w14:textId="09F72FFC" w:rsidR="00F64260" w:rsidRDefault="005E6556">
            <w:pPr>
              <w:spacing w:line="240" w:lineRule="auto"/>
            </w:pPr>
            <w:bookmarkStart w:id="29" w:name="outcomes"/>
            <w:bookmarkEnd w:id="29"/>
            <w:r>
              <w:t>Ability to analyze challenges faced by complex health care organizations and resolve these challenges</w:t>
            </w:r>
          </w:p>
        </w:tc>
        <w:tc>
          <w:tcPr>
            <w:tcW w:w="1710" w:type="dxa"/>
          </w:tcPr>
          <w:p w14:paraId="48EEBF8B" w14:textId="7FF40556" w:rsidR="00F64260" w:rsidRDefault="00F64260">
            <w:pPr>
              <w:spacing w:line="240" w:lineRule="auto"/>
            </w:pPr>
            <w:bookmarkStart w:id="30" w:name="standards"/>
            <w:bookmarkEnd w:id="30"/>
          </w:p>
        </w:tc>
        <w:tc>
          <w:tcPr>
            <w:tcW w:w="4788" w:type="dxa"/>
          </w:tcPr>
          <w:p w14:paraId="6E2D8509" w14:textId="3F625120" w:rsidR="00561CAF" w:rsidRPr="00F67F70" w:rsidRDefault="00561CAF" w:rsidP="00561CAF">
            <w:pPr>
              <w:rPr>
                <w:rFonts w:ascii="Calibri" w:hAnsi="Calibri" w:cs="Calibri"/>
              </w:rPr>
            </w:pPr>
            <w:bookmarkStart w:id="31" w:name="measured"/>
            <w:bookmarkEnd w:id="31"/>
          </w:p>
          <w:p w14:paraId="0A370311" w14:textId="2DA526F2" w:rsidR="00F64260" w:rsidRDefault="002D2B1E">
            <w:pPr>
              <w:spacing w:line="240" w:lineRule="auto"/>
            </w:pPr>
            <w:r>
              <w:t>Case A</w:t>
            </w:r>
            <w:r w:rsidR="00870134">
              <w:t>nalysis A</w:t>
            </w:r>
            <w:r w:rsidR="005E6556">
              <w:t>ssignments</w:t>
            </w:r>
          </w:p>
        </w:tc>
      </w:tr>
      <w:tr w:rsidR="005E6556" w14:paraId="73043584" w14:textId="77777777">
        <w:trPr>
          <w:cantSplit/>
        </w:trPr>
        <w:tc>
          <w:tcPr>
            <w:tcW w:w="4518" w:type="dxa"/>
          </w:tcPr>
          <w:p w14:paraId="10A34B2A" w14:textId="359BFC5B" w:rsidR="00F64260" w:rsidRDefault="002F080F" w:rsidP="002B5625">
            <w:pPr>
              <w:spacing w:line="240" w:lineRule="auto"/>
            </w:pPr>
            <w:r>
              <w:t>Understand of</w:t>
            </w:r>
            <w:r w:rsidR="005E6556">
              <w:t xml:space="preserve"> principles and processes that govern managing health care organizations</w:t>
            </w:r>
            <w:r>
              <w:t>.</w:t>
            </w:r>
          </w:p>
        </w:tc>
        <w:tc>
          <w:tcPr>
            <w:tcW w:w="1710" w:type="dxa"/>
          </w:tcPr>
          <w:p w14:paraId="638748AC" w14:textId="5B0EE6A1" w:rsidR="00F64260" w:rsidRDefault="00F64260">
            <w:pPr>
              <w:spacing w:line="240" w:lineRule="auto"/>
            </w:pPr>
          </w:p>
        </w:tc>
        <w:tc>
          <w:tcPr>
            <w:tcW w:w="4788" w:type="dxa"/>
          </w:tcPr>
          <w:p w14:paraId="08D585D7" w14:textId="77777777" w:rsidR="005E6556" w:rsidRDefault="005E6556">
            <w:pPr>
              <w:spacing w:line="240" w:lineRule="auto"/>
            </w:pPr>
          </w:p>
          <w:p w14:paraId="57FBD416" w14:textId="5202C03B" w:rsidR="005E6556" w:rsidRDefault="00870134">
            <w:pPr>
              <w:spacing w:line="240" w:lineRule="auto"/>
            </w:pPr>
            <w:r>
              <w:t>Interactive Classroom Activities</w:t>
            </w:r>
          </w:p>
        </w:tc>
      </w:tr>
      <w:tr w:rsidR="005E6556" w14:paraId="373F39F0" w14:textId="77777777">
        <w:trPr>
          <w:cantSplit/>
        </w:trPr>
        <w:tc>
          <w:tcPr>
            <w:tcW w:w="4518" w:type="dxa"/>
          </w:tcPr>
          <w:p w14:paraId="03860DE1" w14:textId="37548D17" w:rsidR="00F64260" w:rsidRDefault="005E6556" w:rsidP="00DB607F">
            <w:pPr>
              <w:spacing w:line="240" w:lineRule="auto"/>
            </w:pPr>
            <w:r>
              <w:t xml:space="preserve">Ability to assess environment conditions and constraints that impact positioning, decision making and operational success for health care organizations </w:t>
            </w:r>
          </w:p>
        </w:tc>
        <w:tc>
          <w:tcPr>
            <w:tcW w:w="1710" w:type="dxa"/>
          </w:tcPr>
          <w:p w14:paraId="48CF2D35" w14:textId="3AADC145" w:rsidR="00F64260" w:rsidRPr="00DB607F" w:rsidRDefault="00F64260">
            <w:pPr>
              <w:spacing w:line="240" w:lineRule="auto"/>
              <w:rPr>
                <w:rFonts w:ascii="Calibri" w:hAnsi="Calibri"/>
              </w:rPr>
            </w:pPr>
          </w:p>
        </w:tc>
        <w:tc>
          <w:tcPr>
            <w:tcW w:w="4788" w:type="dxa"/>
          </w:tcPr>
          <w:p w14:paraId="42A4D8BF" w14:textId="77777777" w:rsidR="00F64260" w:rsidRDefault="00F64260" w:rsidP="0068316C">
            <w:pPr>
              <w:spacing w:line="240" w:lineRule="auto"/>
            </w:pPr>
          </w:p>
          <w:p w14:paraId="4F061422" w14:textId="4F974F88" w:rsidR="005E6556" w:rsidRDefault="005E6556" w:rsidP="0068316C">
            <w:pPr>
              <w:spacing w:line="240" w:lineRule="auto"/>
            </w:pPr>
            <w:r>
              <w:t>Internal and External Environmental Scan</w:t>
            </w:r>
          </w:p>
        </w:tc>
      </w:tr>
      <w:tr w:rsidR="005E6556" w14:paraId="73C76F60" w14:textId="77777777" w:rsidTr="005E6556">
        <w:trPr>
          <w:cantSplit/>
          <w:trHeight w:val="133"/>
        </w:trPr>
        <w:tc>
          <w:tcPr>
            <w:tcW w:w="4518" w:type="dxa"/>
          </w:tcPr>
          <w:p w14:paraId="21659C3F" w14:textId="1A881658" w:rsidR="0068316C" w:rsidRDefault="005E6556">
            <w:pPr>
              <w:spacing w:line="240" w:lineRule="auto"/>
              <w:rPr>
                <w:rFonts w:cstheme="minorHAnsi"/>
              </w:rPr>
            </w:pPr>
            <w:r>
              <w:rPr>
                <w:rFonts w:cstheme="minorHAnsi"/>
              </w:rPr>
              <w:t>Understand the techniques used to successfully market health services in the community</w:t>
            </w:r>
          </w:p>
        </w:tc>
        <w:tc>
          <w:tcPr>
            <w:tcW w:w="1710" w:type="dxa"/>
          </w:tcPr>
          <w:p w14:paraId="5227EE2F" w14:textId="5825E2BA" w:rsidR="0068316C" w:rsidRPr="00876C54" w:rsidRDefault="0068316C">
            <w:pPr>
              <w:spacing w:line="240" w:lineRule="auto"/>
              <w:rPr>
                <w:rFonts w:ascii="Calibri" w:hAnsi="Calibri"/>
              </w:rPr>
            </w:pPr>
          </w:p>
        </w:tc>
        <w:tc>
          <w:tcPr>
            <w:tcW w:w="4788" w:type="dxa"/>
          </w:tcPr>
          <w:p w14:paraId="794A6B69" w14:textId="77777777" w:rsidR="0068316C" w:rsidRDefault="0068316C" w:rsidP="0068316C">
            <w:pPr>
              <w:spacing w:line="240" w:lineRule="auto"/>
              <w:rPr>
                <w:rFonts w:ascii="Calibri" w:hAnsi="Calibri" w:cs="Calibri"/>
              </w:rPr>
            </w:pPr>
          </w:p>
          <w:p w14:paraId="60E95DFC" w14:textId="27C7F994" w:rsidR="005E6556" w:rsidRPr="00F67F70" w:rsidRDefault="005E6556" w:rsidP="006F5142">
            <w:pPr>
              <w:spacing w:line="240" w:lineRule="auto"/>
              <w:rPr>
                <w:rFonts w:ascii="Calibri" w:hAnsi="Calibri" w:cs="Calibri"/>
              </w:rPr>
            </w:pPr>
            <w:r>
              <w:rPr>
                <w:rFonts w:ascii="Calibri" w:hAnsi="Calibri" w:cs="Calibri"/>
              </w:rPr>
              <w:t>Marketing A</w:t>
            </w:r>
            <w:r w:rsidR="006F5142">
              <w:rPr>
                <w:rFonts w:ascii="Calibri" w:hAnsi="Calibri" w:cs="Calibri"/>
              </w:rPr>
              <w:t>ssessment</w:t>
            </w:r>
          </w:p>
        </w:tc>
      </w:tr>
      <w:tr w:rsidR="005E6556" w14:paraId="23306921" w14:textId="77777777">
        <w:trPr>
          <w:cantSplit/>
        </w:trPr>
        <w:tc>
          <w:tcPr>
            <w:tcW w:w="4518" w:type="dxa"/>
          </w:tcPr>
          <w:p w14:paraId="57133F6B" w14:textId="5526AD24" w:rsidR="0068316C" w:rsidRDefault="005E6556">
            <w:pPr>
              <w:spacing w:line="240" w:lineRule="auto"/>
              <w:rPr>
                <w:rFonts w:ascii="Calibri" w:hAnsi="Calibri"/>
              </w:rPr>
            </w:pPr>
            <w:r>
              <w:rPr>
                <w:rFonts w:ascii="Calibri" w:hAnsi="Calibri"/>
              </w:rPr>
              <w:t>Ability to balance organizational collaboration with strategic positioning in a competitive health care arena.</w:t>
            </w:r>
          </w:p>
        </w:tc>
        <w:tc>
          <w:tcPr>
            <w:tcW w:w="1710" w:type="dxa"/>
          </w:tcPr>
          <w:p w14:paraId="1874BD3F" w14:textId="641F4237" w:rsidR="0068316C" w:rsidRPr="00876C54" w:rsidRDefault="0068316C">
            <w:pPr>
              <w:spacing w:line="240" w:lineRule="auto"/>
              <w:rPr>
                <w:rFonts w:ascii="Calibri" w:hAnsi="Calibri"/>
              </w:rPr>
            </w:pPr>
          </w:p>
        </w:tc>
        <w:tc>
          <w:tcPr>
            <w:tcW w:w="4788" w:type="dxa"/>
          </w:tcPr>
          <w:p w14:paraId="7CC2BD06" w14:textId="77777777" w:rsidR="0068316C" w:rsidRDefault="0068316C" w:rsidP="0068316C">
            <w:pPr>
              <w:spacing w:line="240" w:lineRule="auto"/>
              <w:rPr>
                <w:rFonts w:ascii="Calibri" w:hAnsi="Calibri" w:cs="Calibri"/>
              </w:rPr>
            </w:pPr>
          </w:p>
          <w:p w14:paraId="060D48A4" w14:textId="77777777" w:rsidR="002A50CF" w:rsidRDefault="002A50CF" w:rsidP="0068316C">
            <w:pPr>
              <w:spacing w:line="240" w:lineRule="auto"/>
              <w:rPr>
                <w:rFonts w:ascii="Calibri" w:hAnsi="Calibri" w:cs="Calibri"/>
              </w:rPr>
            </w:pPr>
            <w:r>
              <w:rPr>
                <w:rFonts w:ascii="Calibri" w:hAnsi="Calibri" w:cs="Calibri"/>
              </w:rPr>
              <w:t>Final Research Paper</w:t>
            </w:r>
          </w:p>
          <w:p w14:paraId="518CD767" w14:textId="4552E3D8" w:rsidR="001E3D82" w:rsidRPr="00F67F70" w:rsidRDefault="001E3D82" w:rsidP="0068316C">
            <w:pPr>
              <w:spacing w:line="240" w:lineRule="auto"/>
              <w:rPr>
                <w:rFonts w:ascii="Calibri" w:hAnsi="Calibri" w:cs="Calibri"/>
              </w:rPr>
            </w:pPr>
          </w:p>
        </w:tc>
      </w:tr>
      <w:tr w:rsidR="001E3D82" w14:paraId="0D41D179" w14:textId="77777777">
        <w:trPr>
          <w:cantSplit/>
        </w:trPr>
        <w:tc>
          <w:tcPr>
            <w:tcW w:w="4518" w:type="dxa"/>
          </w:tcPr>
          <w:p w14:paraId="2C311782" w14:textId="583BDD2F" w:rsidR="001E3D82" w:rsidRDefault="001E3D82">
            <w:pPr>
              <w:spacing w:line="240" w:lineRule="auto"/>
              <w:rPr>
                <w:rFonts w:ascii="Calibri" w:hAnsi="Calibri"/>
              </w:rPr>
            </w:pPr>
            <w:r>
              <w:rPr>
                <w:rFonts w:ascii="Calibri" w:hAnsi="Calibri"/>
              </w:rPr>
              <w:t>Understanding of theories of conflict, organizational change,</w:t>
            </w:r>
            <w:r w:rsidR="00493A03">
              <w:rPr>
                <w:rFonts w:ascii="Calibri" w:hAnsi="Calibri"/>
              </w:rPr>
              <w:t xml:space="preserve"> complexity</w:t>
            </w:r>
            <w:r>
              <w:rPr>
                <w:rFonts w:ascii="Calibri" w:hAnsi="Calibri"/>
              </w:rPr>
              <w:t xml:space="preserve"> etc.</w:t>
            </w:r>
          </w:p>
        </w:tc>
        <w:tc>
          <w:tcPr>
            <w:tcW w:w="1710" w:type="dxa"/>
          </w:tcPr>
          <w:p w14:paraId="725FB2AF" w14:textId="77777777" w:rsidR="001E3D82" w:rsidRPr="00876C54" w:rsidRDefault="001E3D82">
            <w:pPr>
              <w:spacing w:line="240" w:lineRule="auto"/>
              <w:rPr>
                <w:rFonts w:ascii="Calibri" w:hAnsi="Calibri"/>
              </w:rPr>
            </w:pPr>
          </w:p>
        </w:tc>
        <w:tc>
          <w:tcPr>
            <w:tcW w:w="4788" w:type="dxa"/>
          </w:tcPr>
          <w:p w14:paraId="6745288B" w14:textId="77777777" w:rsidR="001E3D82" w:rsidRDefault="001E3D82" w:rsidP="0068316C">
            <w:pPr>
              <w:spacing w:line="240" w:lineRule="auto"/>
              <w:rPr>
                <w:rFonts w:ascii="Calibri" w:hAnsi="Calibri" w:cs="Calibri"/>
              </w:rPr>
            </w:pPr>
          </w:p>
          <w:p w14:paraId="5C56E952" w14:textId="6B0DB9C4" w:rsidR="001E3D82" w:rsidRDefault="002D2B1E" w:rsidP="0068316C">
            <w:pPr>
              <w:spacing w:line="240" w:lineRule="auto"/>
              <w:rPr>
                <w:rFonts w:ascii="Calibri" w:hAnsi="Calibri" w:cs="Calibri"/>
              </w:rPr>
            </w:pPr>
            <w:r>
              <w:rPr>
                <w:rFonts w:ascii="Calibri" w:hAnsi="Calibri" w:cs="Calibri"/>
              </w:rPr>
              <w:t>C</w:t>
            </w:r>
            <w:r w:rsidR="00870134">
              <w:rPr>
                <w:rFonts w:ascii="Calibri" w:hAnsi="Calibri" w:cs="Calibri"/>
              </w:rPr>
              <w:t>ase Analysis A</w:t>
            </w:r>
            <w:r w:rsidR="001E3D82">
              <w:rPr>
                <w:rFonts w:ascii="Calibri" w:hAnsi="Calibri" w:cs="Calibri"/>
              </w:rPr>
              <w:t>ssignments</w:t>
            </w:r>
          </w:p>
        </w:tc>
      </w:tr>
      <w:tr w:rsidR="001E3D82" w14:paraId="3B8A786D" w14:textId="77777777">
        <w:trPr>
          <w:cantSplit/>
        </w:trPr>
        <w:tc>
          <w:tcPr>
            <w:tcW w:w="4518" w:type="dxa"/>
          </w:tcPr>
          <w:p w14:paraId="5476534D" w14:textId="659D75AB" w:rsidR="001E3D82" w:rsidRDefault="001E3D82">
            <w:pPr>
              <w:spacing w:line="240" w:lineRule="auto"/>
              <w:rPr>
                <w:rFonts w:ascii="Calibri" w:hAnsi="Calibri"/>
              </w:rPr>
            </w:pPr>
            <w:r>
              <w:rPr>
                <w:rFonts w:ascii="Calibri" w:hAnsi="Calibri"/>
              </w:rPr>
              <w:t>Understanding of techniques used to build successful and strong teams</w:t>
            </w:r>
          </w:p>
        </w:tc>
        <w:tc>
          <w:tcPr>
            <w:tcW w:w="1710" w:type="dxa"/>
          </w:tcPr>
          <w:p w14:paraId="5A669021" w14:textId="77777777" w:rsidR="001E3D82" w:rsidRPr="00876C54" w:rsidRDefault="001E3D82">
            <w:pPr>
              <w:spacing w:line="240" w:lineRule="auto"/>
              <w:rPr>
                <w:rFonts w:ascii="Calibri" w:hAnsi="Calibri"/>
              </w:rPr>
            </w:pPr>
          </w:p>
        </w:tc>
        <w:tc>
          <w:tcPr>
            <w:tcW w:w="4788" w:type="dxa"/>
          </w:tcPr>
          <w:p w14:paraId="5852B6F2" w14:textId="77777777" w:rsidR="001E3D82" w:rsidRDefault="001E3D82" w:rsidP="0068316C">
            <w:pPr>
              <w:spacing w:line="240" w:lineRule="auto"/>
              <w:rPr>
                <w:rFonts w:ascii="Calibri" w:hAnsi="Calibri" w:cs="Calibri"/>
              </w:rPr>
            </w:pPr>
          </w:p>
          <w:p w14:paraId="2BB4360E" w14:textId="4443CB2F" w:rsidR="001E3D82" w:rsidRDefault="00870134" w:rsidP="0068316C">
            <w:pPr>
              <w:spacing w:line="240" w:lineRule="auto"/>
              <w:rPr>
                <w:rFonts w:ascii="Calibri" w:hAnsi="Calibri" w:cs="Calibri"/>
              </w:rPr>
            </w:pPr>
            <w:r>
              <w:rPr>
                <w:rFonts w:ascii="Calibri" w:hAnsi="Calibri" w:cs="Calibri"/>
              </w:rPr>
              <w:t>Interactive Classroom A</w:t>
            </w:r>
            <w:r w:rsidR="001E3D82">
              <w:rPr>
                <w:rFonts w:ascii="Calibri" w:hAnsi="Calibri" w:cs="Calibri"/>
              </w:rPr>
              <w:t>ctivities</w:t>
            </w:r>
          </w:p>
        </w:tc>
      </w:tr>
      <w:tr w:rsidR="002D2B1E" w14:paraId="595F7575" w14:textId="77777777">
        <w:trPr>
          <w:cantSplit/>
        </w:trPr>
        <w:tc>
          <w:tcPr>
            <w:tcW w:w="4518" w:type="dxa"/>
          </w:tcPr>
          <w:p w14:paraId="0A1854C5" w14:textId="37DD6ABE" w:rsidR="002D2B1E" w:rsidRDefault="002D2B1E">
            <w:pPr>
              <w:spacing w:line="240" w:lineRule="auto"/>
              <w:rPr>
                <w:rFonts w:ascii="Calibri" w:hAnsi="Calibri"/>
              </w:rPr>
            </w:pPr>
            <w:r>
              <w:rPr>
                <w:rFonts w:ascii="Calibri" w:hAnsi="Calibri"/>
              </w:rPr>
              <w:t>Apply “Systems thinking” for resolution of organizational problems using theoretical aspects of health care strategic planning and management</w:t>
            </w:r>
          </w:p>
        </w:tc>
        <w:tc>
          <w:tcPr>
            <w:tcW w:w="1710" w:type="dxa"/>
          </w:tcPr>
          <w:p w14:paraId="6278B639" w14:textId="77777777" w:rsidR="002D2B1E" w:rsidRPr="00876C54" w:rsidRDefault="002D2B1E">
            <w:pPr>
              <w:spacing w:line="240" w:lineRule="auto"/>
              <w:rPr>
                <w:rFonts w:ascii="Calibri" w:hAnsi="Calibri"/>
              </w:rPr>
            </w:pPr>
          </w:p>
        </w:tc>
        <w:tc>
          <w:tcPr>
            <w:tcW w:w="4788" w:type="dxa"/>
          </w:tcPr>
          <w:p w14:paraId="582FC0A7" w14:textId="77777777" w:rsidR="002D2B1E" w:rsidRDefault="002D2B1E" w:rsidP="0068316C">
            <w:pPr>
              <w:spacing w:line="240" w:lineRule="auto"/>
              <w:rPr>
                <w:rFonts w:ascii="Calibri" w:hAnsi="Calibri" w:cs="Calibri"/>
              </w:rPr>
            </w:pPr>
          </w:p>
          <w:p w14:paraId="4BF38C70" w14:textId="409A9209" w:rsidR="002D2B1E" w:rsidRDefault="002D2B1E" w:rsidP="0068316C">
            <w:pPr>
              <w:spacing w:line="240" w:lineRule="auto"/>
              <w:rPr>
                <w:rFonts w:ascii="Calibri" w:hAnsi="Calibri" w:cs="Calibri"/>
              </w:rPr>
            </w:pPr>
            <w:r>
              <w:rPr>
                <w:rFonts w:ascii="Calibri" w:hAnsi="Calibri" w:cs="Calibri"/>
              </w:rPr>
              <w:t>Group problem solving through cases that demonstrate understanding of strategic management</w:t>
            </w:r>
            <w:r w:rsidR="002F080F">
              <w:rPr>
                <w:rFonts w:ascii="Calibri" w:hAnsi="Calibri" w:cs="Calibri"/>
              </w:rPr>
              <w:t xml:space="preserve"> and system thinking</w:t>
            </w:r>
          </w:p>
        </w:tc>
      </w:tr>
      <w:tr w:rsidR="002D2B1E" w14:paraId="56A29DD2" w14:textId="77777777">
        <w:trPr>
          <w:cantSplit/>
        </w:trPr>
        <w:tc>
          <w:tcPr>
            <w:tcW w:w="4518" w:type="dxa"/>
          </w:tcPr>
          <w:p w14:paraId="380FBD5A" w14:textId="064DF141" w:rsidR="002D2B1E" w:rsidRDefault="002D2B1E">
            <w:pPr>
              <w:spacing w:line="240" w:lineRule="auto"/>
              <w:rPr>
                <w:rFonts w:ascii="Calibri" w:hAnsi="Calibri"/>
              </w:rPr>
            </w:pPr>
            <w:r>
              <w:rPr>
                <w:rFonts w:ascii="Calibri" w:hAnsi="Calibri"/>
              </w:rPr>
              <w:t>Understand key aspects of critical and analytical about health care issues – levers of change, culture, competitive forces</w:t>
            </w:r>
          </w:p>
        </w:tc>
        <w:tc>
          <w:tcPr>
            <w:tcW w:w="1710" w:type="dxa"/>
          </w:tcPr>
          <w:p w14:paraId="4EDFEA08" w14:textId="77777777" w:rsidR="002D2B1E" w:rsidRPr="00876C54" w:rsidRDefault="002D2B1E">
            <w:pPr>
              <w:spacing w:line="240" w:lineRule="auto"/>
              <w:rPr>
                <w:rFonts w:ascii="Calibri" w:hAnsi="Calibri"/>
              </w:rPr>
            </w:pPr>
          </w:p>
        </w:tc>
        <w:tc>
          <w:tcPr>
            <w:tcW w:w="4788" w:type="dxa"/>
          </w:tcPr>
          <w:p w14:paraId="773BF5D6" w14:textId="77777777" w:rsidR="002D2B1E" w:rsidRDefault="002D2B1E" w:rsidP="0068316C">
            <w:pPr>
              <w:spacing w:line="240" w:lineRule="auto"/>
              <w:rPr>
                <w:rFonts w:ascii="Calibri" w:hAnsi="Calibri" w:cs="Calibri"/>
              </w:rPr>
            </w:pPr>
          </w:p>
          <w:p w14:paraId="7F22018E" w14:textId="37B8BA32" w:rsidR="002D2B1E" w:rsidRDefault="00870134" w:rsidP="0068316C">
            <w:pPr>
              <w:spacing w:line="240" w:lineRule="auto"/>
              <w:rPr>
                <w:rFonts w:ascii="Calibri" w:hAnsi="Calibri" w:cs="Calibri"/>
              </w:rPr>
            </w:pPr>
            <w:r>
              <w:rPr>
                <w:rFonts w:ascii="Calibri" w:hAnsi="Calibri" w:cs="Calibri"/>
              </w:rPr>
              <w:t>Interactive Classroom A</w:t>
            </w:r>
            <w:r w:rsidR="002D2B1E">
              <w:rPr>
                <w:rFonts w:ascii="Calibri" w:hAnsi="Calibri" w:cs="Calibri"/>
              </w:rPr>
              <w:t>ctivities</w:t>
            </w:r>
          </w:p>
        </w:tc>
      </w:tr>
    </w:tbl>
    <w:p w14:paraId="0F9E8102"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010CE5">
        <w:trPr>
          <w:tblHeader/>
        </w:trPr>
        <w:tc>
          <w:tcPr>
            <w:tcW w:w="10780" w:type="dxa"/>
          </w:tcPr>
          <w:p w14:paraId="14D8E7E5" w14:textId="5A00620B" w:rsidR="00F64260" w:rsidRDefault="00786121" w:rsidP="000556B3">
            <w:pPr>
              <w:keepNext/>
              <w:spacing w:line="240" w:lineRule="auto"/>
              <w:rPr>
                <w:rStyle w:val="Hyperlink"/>
                <w:b/>
              </w:rPr>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010CE5">
              <w:rPr>
                <w:rStyle w:val="Hyperlink"/>
                <w:b/>
              </w:rPr>
              <w:t xml:space="preserve"> </w:t>
            </w:r>
          </w:p>
          <w:p w14:paraId="221B479A" w14:textId="77777777" w:rsidR="006F5142" w:rsidRDefault="006F5142" w:rsidP="006F5142">
            <w:pPr>
              <w:pStyle w:val="ListParagraph"/>
              <w:spacing w:after="200" w:line="276" w:lineRule="auto"/>
              <w:ind w:left="288"/>
            </w:pPr>
          </w:p>
          <w:p w14:paraId="7787F5E0" w14:textId="2605BB53" w:rsidR="002F080F" w:rsidRDefault="006F5142" w:rsidP="002F080F">
            <w:pPr>
              <w:pStyle w:val="ListParagraph"/>
              <w:numPr>
                <w:ilvl w:val="0"/>
                <w:numId w:val="19"/>
              </w:numPr>
              <w:spacing w:after="200" w:line="276" w:lineRule="auto"/>
            </w:pPr>
            <w:r>
              <w:t>Health Care Strategic Planning and Management</w:t>
            </w:r>
          </w:p>
          <w:p w14:paraId="3729C60B" w14:textId="77777777" w:rsidR="006F5142" w:rsidRDefault="006F5142" w:rsidP="006F5142">
            <w:pPr>
              <w:pStyle w:val="ListParagraph"/>
              <w:numPr>
                <w:ilvl w:val="1"/>
                <w:numId w:val="19"/>
              </w:numPr>
              <w:spacing w:after="200" w:line="276" w:lineRule="auto"/>
            </w:pPr>
            <w:r>
              <w:t>Mission, Vision, Goals in Uncertainty</w:t>
            </w:r>
          </w:p>
          <w:p w14:paraId="589F5795" w14:textId="52B29C5C" w:rsidR="006F5142" w:rsidRDefault="006F5142" w:rsidP="006F5142">
            <w:pPr>
              <w:pStyle w:val="ListParagraph"/>
              <w:numPr>
                <w:ilvl w:val="1"/>
                <w:numId w:val="19"/>
              </w:numPr>
              <w:spacing w:after="200" w:line="276" w:lineRule="auto"/>
            </w:pPr>
            <w:r>
              <w:t>Internal and External Environmental Scanning for Alignment</w:t>
            </w:r>
          </w:p>
          <w:p w14:paraId="5CE6E976" w14:textId="62F01BF7" w:rsidR="006F5142" w:rsidRPr="00493A03" w:rsidRDefault="006F5142" w:rsidP="006F5142">
            <w:pPr>
              <w:pStyle w:val="ListParagraph"/>
              <w:numPr>
                <w:ilvl w:val="1"/>
                <w:numId w:val="19"/>
              </w:numPr>
              <w:spacing w:after="200" w:line="276" w:lineRule="auto"/>
            </w:pPr>
            <w:r>
              <w:t>Competitive Forces</w:t>
            </w:r>
          </w:p>
          <w:p w14:paraId="4012B0D2" w14:textId="421C9E99" w:rsidR="00010CE5" w:rsidRPr="00493A03" w:rsidRDefault="00493A03" w:rsidP="00493A03">
            <w:pPr>
              <w:pStyle w:val="ListParagraph"/>
              <w:numPr>
                <w:ilvl w:val="0"/>
                <w:numId w:val="19"/>
              </w:numPr>
              <w:spacing w:after="200" w:line="276" w:lineRule="auto"/>
            </w:pPr>
            <w:r w:rsidRPr="00493A03">
              <w:rPr>
                <w:rFonts w:ascii="Calibri" w:hAnsi="Calibri" w:cs="Calibri"/>
              </w:rPr>
              <w:t>Power and Politics of Health Care</w:t>
            </w:r>
          </w:p>
          <w:p w14:paraId="045E07AF" w14:textId="7E2AD240" w:rsidR="00493A03" w:rsidRDefault="00493A03" w:rsidP="00493A03">
            <w:pPr>
              <w:pStyle w:val="ListParagraph"/>
              <w:numPr>
                <w:ilvl w:val="1"/>
                <w:numId w:val="19"/>
              </w:numPr>
              <w:spacing w:after="200" w:line="276" w:lineRule="auto"/>
            </w:pPr>
            <w:r>
              <w:t>Sources of Power</w:t>
            </w:r>
          </w:p>
          <w:p w14:paraId="4BD0D264" w14:textId="768E8AA9" w:rsidR="00493A03" w:rsidRDefault="00493A03" w:rsidP="00493A03">
            <w:pPr>
              <w:pStyle w:val="ListParagraph"/>
              <w:numPr>
                <w:ilvl w:val="1"/>
                <w:numId w:val="19"/>
              </w:numPr>
              <w:spacing w:after="200" w:line="276" w:lineRule="auto"/>
            </w:pPr>
            <w:r>
              <w:t>Game Theory</w:t>
            </w:r>
          </w:p>
          <w:p w14:paraId="556A7DEA" w14:textId="664AE0B5" w:rsidR="00493A03" w:rsidRPr="00493A03" w:rsidRDefault="00493A03" w:rsidP="00493A03">
            <w:pPr>
              <w:pStyle w:val="ListParagraph"/>
              <w:numPr>
                <w:ilvl w:val="1"/>
                <w:numId w:val="19"/>
              </w:numPr>
              <w:spacing w:after="200" w:line="276" w:lineRule="auto"/>
            </w:pPr>
            <w:proofErr w:type="spellStart"/>
            <w:r>
              <w:t>Mintzberg</w:t>
            </w:r>
            <w:proofErr w:type="spellEnd"/>
            <w:r>
              <w:t xml:space="preserve"> Political Games</w:t>
            </w:r>
            <w:r w:rsidR="006F5142">
              <w:t xml:space="preserve"> Theory</w:t>
            </w:r>
          </w:p>
          <w:p w14:paraId="49A35088" w14:textId="702267D1" w:rsidR="00493A03" w:rsidRPr="00493A03" w:rsidRDefault="00493A03" w:rsidP="00493A03">
            <w:pPr>
              <w:pStyle w:val="ListParagraph"/>
              <w:numPr>
                <w:ilvl w:val="0"/>
                <w:numId w:val="19"/>
              </w:numPr>
              <w:spacing w:after="200" w:line="276" w:lineRule="auto"/>
            </w:pPr>
            <w:r>
              <w:rPr>
                <w:rFonts w:ascii="Calibri" w:hAnsi="Calibri" w:cs="Calibri"/>
              </w:rPr>
              <w:t>Theories</w:t>
            </w:r>
            <w:r w:rsidR="002F080F">
              <w:rPr>
                <w:rFonts w:ascii="Calibri" w:hAnsi="Calibri" w:cs="Calibri"/>
              </w:rPr>
              <w:t>, Principles and Processes</w:t>
            </w:r>
            <w:r>
              <w:rPr>
                <w:rFonts w:ascii="Calibri" w:hAnsi="Calibri" w:cs="Calibri"/>
              </w:rPr>
              <w:t xml:space="preserve"> of </w:t>
            </w:r>
            <w:r w:rsidR="002F080F">
              <w:rPr>
                <w:rFonts w:ascii="Calibri" w:hAnsi="Calibri" w:cs="Calibri"/>
              </w:rPr>
              <w:t>Organizational M</w:t>
            </w:r>
            <w:r>
              <w:rPr>
                <w:rFonts w:ascii="Calibri" w:hAnsi="Calibri" w:cs="Calibri"/>
              </w:rPr>
              <w:t>anagement</w:t>
            </w:r>
          </w:p>
          <w:p w14:paraId="49C31379" w14:textId="491FE9DA" w:rsidR="00493A03" w:rsidRPr="00493A03" w:rsidRDefault="002F080F" w:rsidP="00493A03">
            <w:pPr>
              <w:pStyle w:val="ListParagraph"/>
              <w:numPr>
                <w:ilvl w:val="1"/>
                <w:numId w:val="19"/>
              </w:numPr>
              <w:spacing w:after="200" w:line="276" w:lineRule="auto"/>
            </w:pPr>
            <w:r>
              <w:rPr>
                <w:rFonts w:ascii="Calibri" w:hAnsi="Calibri" w:cs="Calibri"/>
              </w:rPr>
              <w:t>Conflict Theory – I</w:t>
            </w:r>
            <w:r w:rsidR="00493A03">
              <w:rPr>
                <w:rFonts w:ascii="Calibri" w:hAnsi="Calibri" w:cs="Calibri"/>
              </w:rPr>
              <w:t>nterpersonal Dynamics</w:t>
            </w:r>
          </w:p>
          <w:p w14:paraId="65637774" w14:textId="6CDD0085" w:rsidR="00493A03" w:rsidRPr="00493A03" w:rsidRDefault="00493A03" w:rsidP="00493A03">
            <w:pPr>
              <w:pStyle w:val="ListParagraph"/>
              <w:numPr>
                <w:ilvl w:val="1"/>
                <w:numId w:val="19"/>
              </w:numPr>
              <w:spacing w:after="200" w:line="276" w:lineRule="auto"/>
            </w:pPr>
            <w:r>
              <w:rPr>
                <w:rFonts w:ascii="Calibri" w:hAnsi="Calibri" w:cs="Calibri"/>
              </w:rPr>
              <w:t>Complexity Theory – Systems Approach to Hea</w:t>
            </w:r>
            <w:r w:rsidR="00E003C2">
              <w:rPr>
                <w:rFonts w:ascii="Calibri" w:hAnsi="Calibri" w:cs="Calibri"/>
              </w:rPr>
              <w:t>l</w:t>
            </w:r>
            <w:r>
              <w:rPr>
                <w:rFonts w:ascii="Calibri" w:hAnsi="Calibri" w:cs="Calibri"/>
              </w:rPr>
              <w:t>th Care</w:t>
            </w:r>
          </w:p>
          <w:p w14:paraId="6E74F342" w14:textId="3B2E9B92" w:rsidR="00493A03" w:rsidRPr="002F080F" w:rsidRDefault="00E003C2" w:rsidP="00493A03">
            <w:pPr>
              <w:pStyle w:val="ListParagraph"/>
              <w:numPr>
                <w:ilvl w:val="1"/>
                <w:numId w:val="19"/>
              </w:numPr>
              <w:spacing w:after="200" w:line="276" w:lineRule="auto"/>
            </w:pPr>
            <w:r>
              <w:rPr>
                <w:rFonts w:ascii="Calibri" w:hAnsi="Calibri" w:cs="Calibri"/>
              </w:rPr>
              <w:t xml:space="preserve">Classical </w:t>
            </w:r>
            <w:r w:rsidR="00FF0B61">
              <w:rPr>
                <w:rFonts w:ascii="Calibri" w:hAnsi="Calibri" w:cs="Calibri"/>
              </w:rPr>
              <w:t xml:space="preserve">to Modern to Post-modern </w:t>
            </w:r>
            <w:r>
              <w:rPr>
                <w:rFonts w:ascii="Calibri" w:hAnsi="Calibri" w:cs="Calibri"/>
              </w:rPr>
              <w:t>Theories</w:t>
            </w:r>
          </w:p>
          <w:p w14:paraId="151B476F" w14:textId="13DCD00C" w:rsidR="002F080F" w:rsidRPr="00493A03" w:rsidRDefault="002F080F" w:rsidP="00493A03">
            <w:pPr>
              <w:pStyle w:val="ListParagraph"/>
              <w:numPr>
                <w:ilvl w:val="1"/>
                <w:numId w:val="19"/>
              </w:numPr>
              <w:spacing w:after="200" w:line="276" w:lineRule="auto"/>
            </w:pPr>
            <w:r>
              <w:rPr>
                <w:rFonts w:ascii="Calibri" w:hAnsi="Calibri" w:cs="Calibri"/>
              </w:rPr>
              <w:t>Levers of change – Assessing and Managing Environmental Conditions and Constraints</w:t>
            </w:r>
          </w:p>
          <w:p w14:paraId="088C116A" w14:textId="51B661C4" w:rsidR="00493A03" w:rsidRPr="00E003C2" w:rsidRDefault="00493A03" w:rsidP="00493A03">
            <w:pPr>
              <w:pStyle w:val="ListParagraph"/>
              <w:numPr>
                <w:ilvl w:val="0"/>
                <w:numId w:val="19"/>
              </w:numPr>
              <w:spacing w:after="200" w:line="276" w:lineRule="auto"/>
            </w:pPr>
            <w:r>
              <w:rPr>
                <w:rFonts w:ascii="Calibri" w:hAnsi="Calibri" w:cs="Calibri"/>
              </w:rPr>
              <w:t>Population Health Dynamics</w:t>
            </w:r>
          </w:p>
          <w:p w14:paraId="5CD1815B" w14:textId="3B49E9AD" w:rsidR="00E003C2" w:rsidRDefault="002D2B1E" w:rsidP="00E003C2">
            <w:pPr>
              <w:pStyle w:val="ListParagraph"/>
              <w:numPr>
                <w:ilvl w:val="1"/>
                <w:numId w:val="19"/>
              </w:numPr>
              <w:spacing w:after="200" w:line="276" w:lineRule="auto"/>
            </w:pPr>
            <w:r>
              <w:t>Models and Theories</w:t>
            </w:r>
            <w:r w:rsidR="00FF0B61">
              <w:t xml:space="preserve"> of Community Health</w:t>
            </w:r>
          </w:p>
          <w:p w14:paraId="69847416" w14:textId="140F58B3" w:rsidR="006F5142" w:rsidRDefault="006F5142" w:rsidP="00E003C2">
            <w:pPr>
              <w:pStyle w:val="ListParagraph"/>
              <w:numPr>
                <w:ilvl w:val="1"/>
                <w:numId w:val="19"/>
              </w:numPr>
              <w:spacing w:after="200" w:line="276" w:lineRule="auto"/>
            </w:pPr>
            <w:r>
              <w:t>Community Needs Assessment</w:t>
            </w:r>
          </w:p>
          <w:p w14:paraId="61D90800" w14:textId="24C81B5F" w:rsidR="002D2B1E" w:rsidRPr="00493A03" w:rsidRDefault="006F5142" w:rsidP="00E003C2">
            <w:pPr>
              <w:pStyle w:val="ListParagraph"/>
              <w:numPr>
                <w:ilvl w:val="1"/>
                <w:numId w:val="19"/>
              </w:numPr>
              <w:spacing w:after="200" w:line="276" w:lineRule="auto"/>
            </w:pPr>
            <w:r>
              <w:t>Major Public H</w:t>
            </w:r>
            <w:r w:rsidR="002D2B1E">
              <w:t>ealth Concerns</w:t>
            </w:r>
            <w:r w:rsidR="002F080F">
              <w:t xml:space="preserve"> addressed by Population Health</w:t>
            </w:r>
          </w:p>
          <w:p w14:paraId="10915B9F" w14:textId="77777777" w:rsidR="006F5142" w:rsidRDefault="006F5142" w:rsidP="006F5142">
            <w:pPr>
              <w:pStyle w:val="ListParagraph"/>
              <w:numPr>
                <w:ilvl w:val="0"/>
                <w:numId w:val="19"/>
              </w:numPr>
              <w:spacing w:after="200" w:line="276" w:lineRule="auto"/>
            </w:pPr>
            <w:r>
              <w:t>The Role of Teams</w:t>
            </w:r>
          </w:p>
          <w:p w14:paraId="353EA8C5" w14:textId="0F514FEC" w:rsidR="006F5142" w:rsidRDefault="006F5142" w:rsidP="006F5142">
            <w:pPr>
              <w:pStyle w:val="ListParagraph"/>
              <w:numPr>
                <w:ilvl w:val="1"/>
                <w:numId w:val="19"/>
              </w:numPr>
              <w:spacing w:after="200" w:line="276" w:lineRule="auto"/>
            </w:pPr>
            <w:r>
              <w:t>Internal Team Building</w:t>
            </w:r>
          </w:p>
          <w:p w14:paraId="661BF32B" w14:textId="6E99EC1D" w:rsidR="006F5142" w:rsidRDefault="006F5142" w:rsidP="006F5142">
            <w:pPr>
              <w:pStyle w:val="ListParagraph"/>
              <w:numPr>
                <w:ilvl w:val="1"/>
                <w:numId w:val="19"/>
              </w:numPr>
              <w:spacing w:after="200" w:line="276" w:lineRule="auto"/>
            </w:pPr>
            <w:r>
              <w:t>External Relationships and Positioning</w:t>
            </w:r>
          </w:p>
          <w:p w14:paraId="2203FFE9" w14:textId="14E44692" w:rsidR="006F5142" w:rsidRDefault="002F080F" w:rsidP="006F5142">
            <w:pPr>
              <w:pStyle w:val="ListParagraph"/>
              <w:numPr>
                <w:ilvl w:val="1"/>
                <w:numId w:val="19"/>
              </w:numPr>
              <w:spacing w:after="200" w:line="276" w:lineRule="auto"/>
            </w:pPr>
            <w:r>
              <w:t>Strategies for C</w:t>
            </w:r>
            <w:r w:rsidR="006F5142">
              <w:t>ollaboration and Partnership</w:t>
            </w:r>
          </w:p>
          <w:p w14:paraId="72067872" w14:textId="77777777" w:rsidR="006F5142" w:rsidRDefault="006F5142" w:rsidP="006F5142">
            <w:pPr>
              <w:pStyle w:val="ListParagraph"/>
              <w:numPr>
                <w:ilvl w:val="0"/>
                <w:numId w:val="19"/>
              </w:numPr>
              <w:spacing w:after="200" w:line="276" w:lineRule="auto"/>
            </w:pPr>
            <w:r>
              <w:t xml:space="preserve">Navigating Market Forces </w:t>
            </w:r>
          </w:p>
          <w:p w14:paraId="2BC07BD4" w14:textId="77777777" w:rsidR="006F5142" w:rsidRDefault="006F5142" w:rsidP="006F5142">
            <w:pPr>
              <w:pStyle w:val="ListParagraph"/>
              <w:numPr>
                <w:ilvl w:val="1"/>
                <w:numId w:val="19"/>
              </w:numPr>
              <w:spacing w:after="200" w:line="276" w:lineRule="auto"/>
            </w:pPr>
            <w:r>
              <w:t>Appropriate Alignment</w:t>
            </w:r>
          </w:p>
          <w:p w14:paraId="17D3E937" w14:textId="77777777" w:rsidR="006F5142" w:rsidRDefault="006F5142" w:rsidP="006F5142">
            <w:pPr>
              <w:pStyle w:val="ListParagraph"/>
              <w:numPr>
                <w:ilvl w:val="1"/>
                <w:numId w:val="19"/>
              </w:numPr>
              <w:spacing w:after="200" w:line="276" w:lineRule="auto"/>
            </w:pPr>
            <w:r>
              <w:t xml:space="preserve">Organizational </w:t>
            </w:r>
            <w:r w:rsidR="002F080F">
              <w:t xml:space="preserve">and Strategic </w:t>
            </w:r>
            <w:r>
              <w:t>Positioning</w:t>
            </w:r>
          </w:p>
          <w:p w14:paraId="60427FD9" w14:textId="77777777" w:rsidR="0021709F" w:rsidRDefault="0021709F" w:rsidP="0021709F">
            <w:pPr>
              <w:spacing w:after="200" w:line="276" w:lineRule="auto"/>
            </w:pPr>
            <w:r>
              <w:t>Required Text:</w:t>
            </w:r>
          </w:p>
          <w:p w14:paraId="3A3BE43D" w14:textId="77777777" w:rsidR="0021709F" w:rsidRDefault="0021709F" w:rsidP="0021709F">
            <w:pPr>
              <w:spacing w:after="200" w:line="276" w:lineRule="auto"/>
            </w:pPr>
            <w:r>
              <w:t xml:space="preserve">Johnson, J. &amp; </w:t>
            </w:r>
            <w:proofErr w:type="spellStart"/>
            <w:r>
              <w:t>Rossow</w:t>
            </w:r>
            <w:proofErr w:type="spellEnd"/>
            <w:r>
              <w:t>, C. (2018). Health Organizations: Theory, Behavior and Development. Jones &amp;Bartlett</w:t>
            </w:r>
            <w:r w:rsidR="00870134">
              <w:t>, Burlington, MA</w:t>
            </w:r>
          </w:p>
          <w:p w14:paraId="5292B2CB" w14:textId="77777777" w:rsidR="00870134" w:rsidRDefault="00870134" w:rsidP="0021709F">
            <w:pPr>
              <w:spacing w:after="200" w:line="276" w:lineRule="auto"/>
            </w:pPr>
            <w:r>
              <w:t>Supplemental text (recommended):</w:t>
            </w:r>
          </w:p>
          <w:p w14:paraId="4EC7F4E1" w14:textId="449B36E8" w:rsidR="00870134" w:rsidRDefault="00870134" w:rsidP="0021709F">
            <w:pPr>
              <w:spacing w:after="200" w:line="276" w:lineRule="auto"/>
            </w:pPr>
            <w:r>
              <w:t>Moseley, G. (2018). Managing Health Care Business Strategy, 2</w:t>
            </w:r>
            <w:r w:rsidRPr="00870134">
              <w:rPr>
                <w:vertAlign w:val="superscript"/>
              </w:rPr>
              <w:t>nd</w:t>
            </w:r>
            <w:r>
              <w:t xml:space="preserve"> Edition, Jones &amp; Bartlett, Burlington, MA</w:t>
            </w:r>
          </w:p>
        </w:tc>
      </w:tr>
      <w:tr w:rsidR="00493A03" w14:paraId="3D6FD0B8" w14:textId="77777777" w:rsidTr="00010CE5">
        <w:trPr>
          <w:tblHeader/>
        </w:trPr>
        <w:tc>
          <w:tcPr>
            <w:tcW w:w="10780" w:type="dxa"/>
          </w:tcPr>
          <w:p w14:paraId="049AB073" w14:textId="0C35E2A1" w:rsidR="00493A03" w:rsidRDefault="00493A03" w:rsidP="000556B3">
            <w:pPr>
              <w:keepNext/>
              <w:spacing w:line="240" w:lineRule="auto"/>
            </w:pPr>
          </w:p>
        </w:tc>
      </w:tr>
    </w:tbl>
    <w:p w14:paraId="6324FBFB" w14:textId="77777777" w:rsidR="00C21FFD" w:rsidRDefault="00C21FFD" w:rsidP="00EB33FD">
      <w:pPr>
        <w:pStyle w:val="Heading3"/>
        <w:keepNext/>
        <w:jc w:val="left"/>
      </w:pPr>
      <w:bookmarkStart w:id="32" w:name="outline"/>
      <w:bookmarkEnd w:id="32"/>
    </w:p>
    <w:p w14:paraId="1CE3C04A" w14:textId="77777777" w:rsidR="00C21FFD" w:rsidRDefault="00C21FFD" w:rsidP="00EB33FD">
      <w:pPr>
        <w:pStyle w:val="Heading3"/>
        <w:keepNext/>
        <w:jc w:val="left"/>
      </w:pPr>
    </w:p>
    <w:p w14:paraId="6854887C" w14:textId="77777777" w:rsidR="00C21FFD" w:rsidRDefault="00C21FFD" w:rsidP="00EB33FD">
      <w:pPr>
        <w:pStyle w:val="Heading3"/>
        <w:keepNext/>
        <w:jc w:val="left"/>
      </w:pPr>
    </w:p>
    <w:p w14:paraId="0E04E055" w14:textId="77777777" w:rsidR="00C21FFD" w:rsidRDefault="00C21FFD" w:rsidP="00EB33FD">
      <w:pPr>
        <w:pStyle w:val="Heading3"/>
        <w:keepNext/>
        <w:jc w:val="left"/>
      </w:pPr>
    </w:p>
    <w:p w14:paraId="2480EEC2" w14:textId="1227CECA" w:rsidR="00F64260" w:rsidRDefault="00F64260" w:rsidP="0045277A">
      <w:pPr>
        <w:pStyle w:val="Heading3"/>
        <w:keepNext/>
        <w:jc w:val="left"/>
      </w:pPr>
    </w:p>
    <w:p w14:paraId="01543C08" w14:textId="77777777" w:rsidR="00F64260" w:rsidRDefault="00F64260" w:rsidP="001A37FB">
      <w:pPr>
        <w:pStyle w:val="Heading2"/>
        <w:jc w:val="left"/>
      </w:pPr>
      <w:r>
        <w:t>D. Signatures</w:t>
      </w:r>
    </w:p>
    <w:p w14:paraId="178FB130" w14:textId="77777777" w:rsidR="00F64260" w:rsidRDefault="00F64260" w:rsidP="008927AF">
      <w:pPr>
        <w:pStyle w:val="Heading5"/>
      </w:pPr>
      <w:r>
        <w:t>D.1. Approvals</w:t>
      </w:r>
    </w:p>
    <w:p w14:paraId="7E8D2D57" w14:textId="77777777" w:rsidR="00F64260" w:rsidRDefault="00F64260" w:rsidP="00730981">
      <w:pPr>
        <w:shd w:val="clear" w:color="auto" w:fill="FDE9D9"/>
      </w:pP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2E479931"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3" w:name="_Signature"/>
        <w:bookmarkEnd w:id="33"/>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D96DC2" w14:paraId="32DE060E" w14:textId="77777777">
        <w:trPr>
          <w:cantSplit/>
          <w:trHeight w:val="489"/>
        </w:trPr>
        <w:tc>
          <w:tcPr>
            <w:tcW w:w="3279" w:type="dxa"/>
            <w:vAlign w:val="center"/>
          </w:tcPr>
          <w:p w14:paraId="0AD1DAA1" w14:textId="616FFFA7" w:rsidR="00D96DC2" w:rsidRDefault="00DB607F" w:rsidP="00293639">
            <w:pPr>
              <w:spacing w:line="240" w:lineRule="auto"/>
            </w:pPr>
            <w:r>
              <w:t>Marianne Raimondo</w:t>
            </w:r>
          </w:p>
        </w:tc>
        <w:tc>
          <w:tcPr>
            <w:tcW w:w="3279" w:type="dxa"/>
            <w:vAlign w:val="center"/>
          </w:tcPr>
          <w:p w14:paraId="2FBCFBDA" w14:textId="0155C7B4" w:rsidR="00D96DC2" w:rsidRDefault="00DB607F" w:rsidP="00293639">
            <w:pPr>
              <w:spacing w:line="240" w:lineRule="auto"/>
            </w:pPr>
            <w:r>
              <w:t>Director MS-HCA</w:t>
            </w:r>
          </w:p>
        </w:tc>
        <w:tc>
          <w:tcPr>
            <w:tcW w:w="3280" w:type="dxa"/>
            <w:vAlign w:val="center"/>
          </w:tcPr>
          <w:p w14:paraId="001697DE" w14:textId="77777777" w:rsidR="00D96DC2" w:rsidRDefault="00D96DC2" w:rsidP="00293639">
            <w:pPr>
              <w:spacing w:line="240" w:lineRule="auto"/>
            </w:pPr>
          </w:p>
        </w:tc>
        <w:tc>
          <w:tcPr>
            <w:tcW w:w="1178" w:type="dxa"/>
            <w:vAlign w:val="center"/>
          </w:tcPr>
          <w:p w14:paraId="7DCCBF90" w14:textId="77777777" w:rsidR="00D96DC2" w:rsidRDefault="00D96DC2" w:rsidP="00293639">
            <w:pPr>
              <w:spacing w:line="240" w:lineRule="auto"/>
            </w:pPr>
          </w:p>
        </w:tc>
      </w:tr>
      <w:tr w:rsidR="001C4F5E" w14:paraId="2226BBBD" w14:textId="77777777">
        <w:trPr>
          <w:cantSplit/>
          <w:trHeight w:val="489"/>
        </w:trPr>
        <w:tc>
          <w:tcPr>
            <w:tcW w:w="3279" w:type="dxa"/>
            <w:vAlign w:val="center"/>
          </w:tcPr>
          <w:p w14:paraId="6DAB4BD5" w14:textId="7396914E" w:rsidR="001C4F5E" w:rsidRDefault="00DB607F" w:rsidP="00293639">
            <w:pPr>
              <w:spacing w:line="240" w:lineRule="auto"/>
            </w:pPr>
            <w:r>
              <w:t xml:space="preserve">Constance </w:t>
            </w:r>
            <w:proofErr w:type="spellStart"/>
            <w:r>
              <w:t>Milbourne</w:t>
            </w:r>
            <w:proofErr w:type="spellEnd"/>
          </w:p>
        </w:tc>
        <w:tc>
          <w:tcPr>
            <w:tcW w:w="3279" w:type="dxa"/>
            <w:vAlign w:val="center"/>
          </w:tcPr>
          <w:p w14:paraId="5F8925DC" w14:textId="48A143D3" w:rsidR="001C4F5E" w:rsidRDefault="00DB607F" w:rsidP="00293639">
            <w:pPr>
              <w:spacing w:line="240" w:lineRule="auto"/>
            </w:pPr>
            <w:r>
              <w:t>Chair – Management. and Marketing</w:t>
            </w:r>
          </w:p>
        </w:tc>
        <w:tc>
          <w:tcPr>
            <w:tcW w:w="3280" w:type="dxa"/>
            <w:vAlign w:val="center"/>
          </w:tcPr>
          <w:p w14:paraId="2B7E4FF3" w14:textId="77777777" w:rsidR="001C4F5E" w:rsidRDefault="001C4F5E" w:rsidP="00293639">
            <w:pPr>
              <w:spacing w:line="240" w:lineRule="auto"/>
            </w:pPr>
          </w:p>
        </w:tc>
        <w:tc>
          <w:tcPr>
            <w:tcW w:w="1178" w:type="dxa"/>
            <w:vAlign w:val="center"/>
          </w:tcPr>
          <w:p w14:paraId="27CDEDC1" w14:textId="77777777" w:rsidR="001C4F5E" w:rsidRDefault="001C4F5E" w:rsidP="00293639">
            <w:pPr>
              <w:spacing w:line="240" w:lineRule="auto"/>
            </w:pPr>
          </w:p>
        </w:tc>
      </w:tr>
      <w:tr w:rsidR="00F64260" w14:paraId="3BE222E3" w14:textId="77777777">
        <w:trPr>
          <w:cantSplit/>
          <w:trHeight w:val="489"/>
        </w:trPr>
        <w:tc>
          <w:tcPr>
            <w:tcW w:w="3279" w:type="dxa"/>
            <w:vAlign w:val="center"/>
          </w:tcPr>
          <w:p w14:paraId="4178201C" w14:textId="771F0785" w:rsidR="00F64260" w:rsidRDefault="00DB607F" w:rsidP="00293639">
            <w:pPr>
              <w:spacing w:line="240" w:lineRule="auto"/>
            </w:pPr>
            <w:r>
              <w:t>Jeffrey Mello</w:t>
            </w:r>
          </w:p>
        </w:tc>
        <w:tc>
          <w:tcPr>
            <w:tcW w:w="3279" w:type="dxa"/>
            <w:vAlign w:val="center"/>
          </w:tcPr>
          <w:p w14:paraId="3874B8F9" w14:textId="2D74E74D" w:rsidR="00F64260" w:rsidRDefault="00DB607F" w:rsidP="00293639">
            <w:pPr>
              <w:spacing w:line="240" w:lineRule="auto"/>
            </w:pPr>
            <w:r>
              <w:t>Dean, School of Business</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D96DC2" w14:paraId="671BD5A9" w14:textId="77777777">
        <w:trPr>
          <w:cantSplit/>
          <w:trHeight w:val="489"/>
        </w:trPr>
        <w:tc>
          <w:tcPr>
            <w:tcW w:w="3279" w:type="dxa"/>
            <w:vAlign w:val="center"/>
          </w:tcPr>
          <w:p w14:paraId="34149527" w14:textId="4407A1B4" w:rsidR="00D96DC2" w:rsidRDefault="00D96DC2" w:rsidP="00293639">
            <w:pPr>
              <w:spacing w:line="240" w:lineRule="auto"/>
            </w:pPr>
          </w:p>
        </w:tc>
        <w:tc>
          <w:tcPr>
            <w:tcW w:w="3279" w:type="dxa"/>
            <w:vAlign w:val="center"/>
          </w:tcPr>
          <w:p w14:paraId="14AAD70E" w14:textId="1B93077E" w:rsidR="00D96DC2" w:rsidRDefault="00D96DC2" w:rsidP="00293639">
            <w:pPr>
              <w:spacing w:line="240" w:lineRule="auto"/>
            </w:pPr>
          </w:p>
        </w:tc>
        <w:tc>
          <w:tcPr>
            <w:tcW w:w="3280" w:type="dxa"/>
            <w:vAlign w:val="center"/>
          </w:tcPr>
          <w:p w14:paraId="7908FE69" w14:textId="77777777" w:rsidR="00D96DC2" w:rsidRDefault="00D96DC2" w:rsidP="00293639">
            <w:pPr>
              <w:spacing w:line="240" w:lineRule="auto"/>
            </w:pPr>
          </w:p>
        </w:tc>
        <w:tc>
          <w:tcPr>
            <w:tcW w:w="1178" w:type="dxa"/>
            <w:vAlign w:val="center"/>
          </w:tcPr>
          <w:p w14:paraId="6915098A" w14:textId="77777777" w:rsidR="00D96DC2" w:rsidRDefault="00D96DC2" w:rsidP="00293639">
            <w:pPr>
              <w:spacing w:line="240" w:lineRule="auto"/>
            </w:pPr>
          </w:p>
        </w:tc>
      </w:tr>
      <w:tr w:rsidR="00F64260" w14:paraId="0072B50B" w14:textId="77777777">
        <w:trPr>
          <w:cantSplit/>
          <w:trHeight w:val="489"/>
        </w:trPr>
        <w:tc>
          <w:tcPr>
            <w:tcW w:w="3279" w:type="dxa"/>
            <w:vAlign w:val="center"/>
          </w:tcPr>
          <w:p w14:paraId="6D613CB9" w14:textId="0EE11A20" w:rsidR="00F64260" w:rsidRDefault="00F64260" w:rsidP="00293639">
            <w:pPr>
              <w:spacing w:line="240" w:lineRule="auto"/>
            </w:pPr>
          </w:p>
        </w:tc>
        <w:tc>
          <w:tcPr>
            <w:tcW w:w="3279" w:type="dxa"/>
            <w:vAlign w:val="center"/>
          </w:tcPr>
          <w:p w14:paraId="46637261" w14:textId="6C78E20B" w:rsidR="00F64260" w:rsidRDefault="00F64260" w:rsidP="00293639">
            <w:pPr>
              <w:spacing w:line="240" w:lineRule="auto"/>
            </w:pP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77777777" w:rsidR="00F64260" w:rsidRDefault="00F64260" w:rsidP="00293639">
            <w:pPr>
              <w:spacing w:line="240" w:lineRule="auto"/>
            </w:pP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51B2109" w:rsidR="00F64260" w:rsidRDefault="00F64260" w:rsidP="00293639">
            <w:pPr>
              <w:spacing w:line="240" w:lineRule="auto"/>
            </w:pPr>
          </w:p>
        </w:tc>
      </w:tr>
    </w:tbl>
    <w:p w14:paraId="4C13C503"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4" w:name="acknowledge"/>
        <w:bookmarkEnd w:id="34"/>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D73AC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5" w:name="Signature_2"/>
            <w:bookmarkEnd w:id="35"/>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48693C21"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847A" w14:textId="77777777" w:rsidR="00D73AC6" w:rsidRDefault="00D73AC6" w:rsidP="00FA78CA">
      <w:pPr>
        <w:spacing w:line="240" w:lineRule="auto"/>
      </w:pPr>
      <w:r>
        <w:separator/>
      </w:r>
    </w:p>
  </w:endnote>
  <w:endnote w:type="continuationSeparator" w:id="0">
    <w:p w14:paraId="09B7BB9C" w14:textId="77777777" w:rsidR="00D73AC6" w:rsidRDefault="00D73AC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75A65" w14:textId="77777777" w:rsidR="00C84661" w:rsidRDefault="00C84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1992A30D" w:rsidR="005E752D" w:rsidRPr="00310D95" w:rsidRDefault="005E752D" w:rsidP="00310D95">
    <w:pPr>
      <w:pStyle w:val="Footer"/>
      <w:pBdr>
        <w:top w:val="single" w:sz="8" w:space="1" w:color="984806"/>
      </w:pBdr>
      <w:jc w:val="right"/>
      <w:rPr>
        <w:sz w:val="20"/>
      </w:rPr>
    </w:pPr>
    <w:proofErr w:type="gramStart"/>
    <w:r>
      <w:rPr>
        <w:sz w:val="20"/>
      </w:rPr>
      <w:t>Form  7</w:t>
    </w:r>
    <w:proofErr w:type="gramEnd"/>
    <w:r>
      <w:rPr>
        <w:sz w:val="20"/>
      </w:rPr>
      <w:t>/22/15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06348">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06348">
      <w:rPr>
        <w:b/>
        <w:bCs/>
        <w:noProof/>
        <w:sz w:val="20"/>
      </w:rPr>
      <w:t>6</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C091" w14:textId="77777777" w:rsidR="00C84661" w:rsidRDefault="00C8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9B507" w14:textId="77777777" w:rsidR="00D73AC6" w:rsidRDefault="00D73AC6" w:rsidP="00FA78CA">
      <w:pPr>
        <w:spacing w:line="240" w:lineRule="auto"/>
      </w:pPr>
      <w:r>
        <w:separator/>
      </w:r>
    </w:p>
  </w:footnote>
  <w:footnote w:type="continuationSeparator" w:id="0">
    <w:p w14:paraId="3ED54C84" w14:textId="77777777" w:rsidR="00D73AC6" w:rsidRDefault="00D73AC6"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0A3D" w14:textId="77777777" w:rsidR="00C84661" w:rsidRDefault="00C84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C78A" w14:textId="77777777" w:rsidR="00C84661"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w:t>
    </w:r>
    <w:r w:rsidRPr="004254A0">
      <w:rPr>
        <w:color w:val="4F6228"/>
      </w:rPr>
      <w:tab/>
    </w:r>
    <w:r w:rsidR="00C84661" w:rsidRPr="00C84661">
      <w:rPr>
        <w:color w:val="4F6228"/>
      </w:rPr>
      <w:t>1819_08 HC545 new course</w:t>
    </w:r>
  </w:p>
  <w:p w14:paraId="44CC6DED" w14:textId="1F4013C1" w:rsidR="005E752D" w:rsidRPr="004254A0" w:rsidRDefault="00C84661"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 xml:space="preserve">Date Received: </w:t>
    </w:r>
    <w:r w:rsidR="005E752D" w:rsidRPr="004254A0">
      <w:rPr>
        <w:color w:val="4F6228"/>
      </w:rPr>
      <w:tab/>
    </w:r>
    <w:r>
      <w:rPr>
        <w:color w:val="4F6228"/>
      </w:rPr>
      <w:t>10/19 /18 (final)</w:t>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r w:rsidR="005E752D"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17FD6" w14:textId="77777777" w:rsidR="00C84661" w:rsidRDefault="00C84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E972D3"/>
    <w:multiLevelType w:val="hybridMultilevel"/>
    <w:tmpl w:val="A64C1C44"/>
    <w:lvl w:ilvl="0" w:tplc="2D50AA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3A0AFA"/>
    <w:multiLevelType w:val="hybridMultilevel"/>
    <w:tmpl w:val="8872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6ED0"/>
    <w:multiLevelType w:val="hybridMultilevel"/>
    <w:tmpl w:val="799CC48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247E7"/>
    <w:multiLevelType w:val="multilevel"/>
    <w:tmpl w:val="7ADE2572"/>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BE468A"/>
    <w:multiLevelType w:val="hybridMultilevel"/>
    <w:tmpl w:val="A18A9948"/>
    <w:lvl w:ilvl="0" w:tplc="C65C2E2E">
      <w:start w:val="1"/>
      <w:numFmt w:val="lowerLetter"/>
      <w:lvlText w:val="%1."/>
      <w:lvlJc w:val="left"/>
      <w:pPr>
        <w:ind w:left="288" w:hanging="360"/>
      </w:pPr>
      <w:rPr>
        <w:rFonts w:ascii="Calibri" w:eastAsia="Times New Roman" w:hAnsi="Calibri" w:cs="Calibri"/>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15:restartNumberingAfterBreak="0">
    <w:nsid w:val="63EA66A0"/>
    <w:multiLevelType w:val="hybridMultilevel"/>
    <w:tmpl w:val="8A0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7D4D57C3"/>
    <w:multiLevelType w:val="hybridMultilevel"/>
    <w:tmpl w:val="20F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23CB1"/>
    <w:multiLevelType w:val="hybridMultilevel"/>
    <w:tmpl w:val="4A0A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5"/>
  </w:num>
  <w:num w:numId="6">
    <w:abstractNumId w:val="13"/>
  </w:num>
  <w:num w:numId="7">
    <w:abstractNumId w:val="1"/>
  </w:num>
  <w:num w:numId="8">
    <w:abstractNumId w:val="8"/>
  </w:num>
  <w:num w:numId="9">
    <w:abstractNumId w:val="10"/>
  </w:num>
  <w:num w:numId="10">
    <w:abstractNumId w:val="4"/>
  </w:num>
  <w:num w:numId="11">
    <w:abstractNumId w:val="16"/>
  </w:num>
  <w:num w:numId="12">
    <w:abstractNumId w:val="12"/>
  </w:num>
  <w:num w:numId="13">
    <w:abstractNumId w:val="17"/>
  </w:num>
  <w:num w:numId="14">
    <w:abstractNumId w:val="15"/>
  </w:num>
  <w:num w:numId="15">
    <w:abstractNumId w:val="18"/>
  </w:num>
  <w:num w:numId="16">
    <w:abstractNumId w:val="6"/>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1040"/>
    <w:rsid w:val="00003097"/>
    <w:rsid w:val="00005535"/>
    <w:rsid w:val="0000646E"/>
    <w:rsid w:val="00010085"/>
    <w:rsid w:val="00010CE5"/>
    <w:rsid w:val="00013152"/>
    <w:rsid w:val="000210CB"/>
    <w:rsid w:val="000218EB"/>
    <w:rsid w:val="00021B7B"/>
    <w:rsid w:val="000301C7"/>
    <w:rsid w:val="0004021D"/>
    <w:rsid w:val="0004554C"/>
    <w:rsid w:val="00051AE1"/>
    <w:rsid w:val="00051B6F"/>
    <w:rsid w:val="00053F31"/>
    <w:rsid w:val="000556B3"/>
    <w:rsid w:val="00073DC2"/>
    <w:rsid w:val="000810FF"/>
    <w:rsid w:val="0009043C"/>
    <w:rsid w:val="000923B0"/>
    <w:rsid w:val="000A36CD"/>
    <w:rsid w:val="000A6D47"/>
    <w:rsid w:val="000B48E2"/>
    <w:rsid w:val="000C68A7"/>
    <w:rsid w:val="000D1497"/>
    <w:rsid w:val="000D21F2"/>
    <w:rsid w:val="000D5929"/>
    <w:rsid w:val="000E22E2"/>
    <w:rsid w:val="000E2CBA"/>
    <w:rsid w:val="000F0EFD"/>
    <w:rsid w:val="001010FA"/>
    <w:rsid w:val="00101BA4"/>
    <w:rsid w:val="00115D36"/>
    <w:rsid w:val="0011690A"/>
    <w:rsid w:val="00120C12"/>
    <w:rsid w:val="001278A4"/>
    <w:rsid w:val="001304E5"/>
    <w:rsid w:val="0013176C"/>
    <w:rsid w:val="00131B87"/>
    <w:rsid w:val="00135530"/>
    <w:rsid w:val="00137BCF"/>
    <w:rsid w:val="00140CE3"/>
    <w:rsid w:val="001429AA"/>
    <w:rsid w:val="0014334F"/>
    <w:rsid w:val="0017326B"/>
    <w:rsid w:val="00176C55"/>
    <w:rsid w:val="00181A4B"/>
    <w:rsid w:val="00186CB7"/>
    <w:rsid w:val="001923DC"/>
    <w:rsid w:val="001A37FB"/>
    <w:rsid w:val="001A51ED"/>
    <w:rsid w:val="001A6366"/>
    <w:rsid w:val="001B2E3A"/>
    <w:rsid w:val="001C4F5E"/>
    <w:rsid w:val="001D17AE"/>
    <w:rsid w:val="001E3D82"/>
    <w:rsid w:val="001F351F"/>
    <w:rsid w:val="0020058E"/>
    <w:rsid w:val="00205648"/>
    <w:rsid w:val="0021406D"/>
    <w:rsid w:val="0021426B"/>
    <w:rsid w:val="0021709F"/>
    <w:rsid w:val="00217344"/>
    <w:rsid w:val="00237355"/>
    <w:rsid w:val="0025582E"/>
    <w:rsid w:val="0026461B"/>
    <w:rsid w:val="00264C95"/>
    <w:rsid w:val="0027634D"/>
    <w:rsid w:val="00284473"/>
    <w:rsid w:val="00284C5C"/>
    <w:rsid w:val="00290857"/>
    <w:rsid w:val="00290E18"/>
    <w:rsid w:val="00292D43"/>
    <w:rsid w:val="00293639"/>
    <w:rsid w:val="00295894"/>
    <w:rsid w:val="00296BA1"/>
    <w:rsid w:val="0029768B"/>
    <w:rsid w:val="002A2A86"/>
    <w:rsid w:val="002A3788"/>
    <w:rsid w:val="002A50CF"/>
    <w:rsid w:val="002B1EEA"/>
    <w:rsid w:val="002B1FF7"/>
    <w:rsid w:val="002B24F6"/>
    <w:rsid w:val="002B2CD3"/>
    <w:rsid w:val="002B5625"/>
    <w:rsid w:val="002B7880"/>
    <w:rsid w:val="002C3D63"/>
    <w:rsid w:val="002C675F"/>
    <w:rsid w:val="002C711D"/>
    <w:rsid w:val="002D2B1E"/>
    <w:rsid w:val="002D4773"/>
    <w:rsid w:val="002E01AA"/>
    <w:rsid w:val="002E0D76"/>
    <w:rsid w:val="002F077E"/>
    <w:rsid w:val="002F080F"/>
    <w:rsid w:val="003039FE"/>
    <w:rsid w:val="00310D95"/>
    <w:rsid w:val="00314FB5"/>
    <w:rsid w:val="0031676A"/>
    <w:rsid w:val="0032559C"/>
    <w:rsid w:val="00345149"/>
    <w:rsid w:val="003638F9"/>
    <w:rsid w:val="00374F19"/>
    <w:rsid w:val="00376A8B"/>
    <w:rsid w:val="00383705"/>
    <w:rsid w:val="003A25DA"/>
    <w:rsid w:val="003A45F6"/>
    <w:rsid w:val="003A5391"/>
    <w:rsid w:val="003B2F7F"/>
    <w:rsid w:val="003B42DA"/>
    <w:rsid w:val="003B4A52"/>
    <w:rsid w:val="003B4E0C"/>
    <w:rsid w:val="003C1A54"/>
    <w:rsid w:val="003C37A0"/>
    <w:rsid w:val="003C511E"/>
    <w:rsid w:val="003D7372"/>
    <w:rsid w:val="003F099C"/>
    <w:rsid w:val="003F4E82"/>
    <w:rsid w:val="00402602"/>
    <w:rsid w:val="004254A0"/>
    <w:rsid w:val="004313E6"/>
    <w:rsid w:val="004403BD"/>
    <w:rsid w:val="00441131"/>
    <w:rsid w:val="00442EEA"/>
    <w:rsid w:val="0045277A"/>
    <w:rsid w:val="00453585"/>
    <w:rsid w:val="00455573"/>
    <w:rsid w:val="00461065"/>
    <w:rsid w:val="00474360"/>
    <w:rsid w:val="004779B4"/>
    <w:rsid w:val="00481B5B"/>
    <w:rsid w:val="0048308F"/>
    <w:rsid w:val="00493A03"/>
    <w:rsid w:val="004A1FA0"/>
    <w:rsid w:val="004D1EA9"/>
    <w:rsid w:val="004D60AC"/>
    <w:rsid w:val="004D6268"/>
    <w:rsid w:val="004E0CE2"/>
    <w:rsid w:val="004E18FA"/>
    <w:rsid w:val="004E57C5"/>
    <w:rsid w:val="004F371D"/>
    <w:rsid w:val="004F6658"/>
    <w:rsid w:val="00524A9E"/>
    <w:rsid w:val="00527C62"/>
    <w:rsid w:val="005473BC"/>
    <w:rsid w:val="00561CAF"/>
    <w:rsid w:val="00563C51"/>
    <w:rsid w:val="005700EE"/>
    <w:rsid w:val="00572072"/>
    <w:rsid w:val="005873E3"/>
    <w:rsid w:val="005907F1"/>
    <w:rsid w:val="00590A58"/>
    <w:rsid w:val="005930CD"/>
    <w:rsid w:val="005B1A6D"/>
    <w:rsid w:val="005C23BD"/>
    <w:rsid w:val="005C3AC3"/>
    <w:rsid w:val="005C3F83"/>
    <w:rsid w:val="005C7C5B"/>
    <w:rsid w:val="005D389E"/>
    <w:rsid w:val="005D77A0"/>
    <w:rsid w:val="005E0C0A"/>
    <w:rsid w:val="005E5CFF"/>
    <w:rsid w:val="005E6556"/>
    <w:rsid w:val="005E752D"/>
    <w:rsid w:val="005F0F90"/>
    <w:rsid w:val="005F2A05"/>
    <w:rsid w:val="006102C2"/>
    <w:rsid w:val="0064013E"/>
    <w:rsid w:val="00640590"/>
    <w:rsid w:val="0064353B"/>
    <w:rsid w:val="00645DE7"/>
    <w:rsid w:val="0065403E"/>
    <w:rsid w:val="0065423E"/>
    <w:rsid w:val="00665C82"/>
    <w:rsid w:val="00670869"/>
    <w:rsid w:val="006761E1"/>
    <w:rsid w:val="0068316C"/>
    <w:rsid w:val="00683FEA"/>
    <w:rsid w:val="0068776B"/>
    <w:rsid w:val="00694491"/>
    <w:rsid w:val="00696B92"/>
    <w:rsid w:val="00696EC3"/>
    <w:rsid w:val="006970B0"/>
    <w:rsid w:val="00697B50"/>
    <w:rsid w:val="006A0334"/>
    <w:rsid w:val="006B2253"/>
    <w:rsid w:val="006C0BDE"/>
    <w:rsid w:val="006C5A81"/>
    <w:rsid w:val="006D047E"/>
    <w:rsid w:val="006E0AC8"/>
    <w:rsid w:val="006E3AF2"/>
    <w:rsid w:val="006E6680"/>
    <w:rsid w:val="006F0F7A"/>
    <w:rsid w:val="006F5142"/>
    <w:rsid w:val="006F68DF"/>
    <w:rsid w:val="006F78B3"/>
    <w:rsid w:val="006F7F90"/>
    <w:rsid w:val="00704CFF"/>
    <w:rsid w:val="00706745"/>
    <w:rsid w:val="00706DDB"/>
    <w:rsid w:val="007072F7"/>
    <w:rsid w:val="00712124"/>
    <w:rsid w:val="007166C5"/>
    <w:rsid w:val="00721BEF"/>
    <w:rsid w:val="00730981"/>
    <w:rsid w:val="007338CE"/>
    <w:rsid w:val="007348BB"/>
    <w:rsid w:val="0073539B"/>
    <w:rsid w:val="007404B5"/>
    <w:rsid w:val="00740837"/>
    <w:rsid w:val="0074235B"/>
    <w:rsid w:val="00743AD2"/>
    <w:rsid w:val="007445F4"/>
    <w:rsid w:val="007554DE"/>
    <w:rsid w:val="00760EA6"/>
    <w:rsid w:val="00761537"/>
    <w:rsid w:val="0076310A"/>
    <w:rsid w:val="00782098"/>
    <w:rsid w:val="00786121"/>
    <w:rsid w:val="0079557B"/>
    <w:rsid w:val="00796AF7"/>
    <w:rsid w:val="007970C3"/>
    <w:rsid w:val="007A5702"/>
    <w:rsid w:val="007B10BE"/>
    <w:rsid w:val="007C0B58"/>
    <w:rsid w:val="007D60A1"/>
    <w:rsid w:val="007F29A0"/>
    <w:rsid w:val="0080057E"/>
    <w:rsid w:val="008122C6"/>
    <w:rsid w:val="00834289"/>
    <w:rsid w:val="0084190D"/>
    <w:rsid w:val="0085229B"/>
    <w:rsid w:val="008555D8"/>
    <w:rsid w:val="008628B1"/>
    <w:rsid w:val="00865915"/>
    <w:rsid w:val="00870134"/>
    <w:rsid w:val="00872775"/>
    <w:rsid w:val="008745BA"/>
    <w:rsid w:val="008847FE"/>
    <w:rsid w:val="00890CFD"/>
    <w:rsid w:val="0089234B"/>
    <w:rsid w:val="008927AF"/>
    <w:rsid w:val="00893D6D"/>
    <w:rsid w:val="0089400B"/>
    <w:rsid w:val="00896897"/>
    <w:rsid w:val="008A45F1"/>
    <w:rsid w:val="008A5600"/>
    <w:rsid w:val="008B1F84"/>
    <w:rsid w:val="008C75E8"/>
    <w:rsid w:val="008E0FCD"/>
    <w:rsid w:val="008E3366"/>
    <w:rsid w:val="008E3EFA"/>
    <w:rsid w:val="008E4172"/>
    <w:rsid w:val="00905E67"/>
    <w:rsid w:val="00912BB8"/>
    <w:rsid w:val="009262CD"/>
    <w:rsid w:val="00932B72"/>
    <w:rsid w:val="00936421"/>
    <w:rsid w:val="009367B9"/>
    <w:rsid w:val="009458D2"/>
    <w:rsid w:val="00946B20"/>
    <w:rsid w:val="00950601"/>
    <w:rsid w:val="00955AE8"/>
    <w:rsid w:val="00967588"/>
    <w:rsid w:val="0096769D"/>
    <w:rsid w:val="0098046D"/>
    <w:rsid w:val="00995D8F"/>
    <w:rsid w:val="009A05F7"/>
    <w:rsid w:val="009A237E"/>
    <w:rsid w:val="009A2A53"/>
    <w:rsid w:val="009A4E6F"/>
    <w:rsid w:val="009A58C1"/>
    <w:rsid w:val="009B05BB"/>
    <w:rsid w:val="009B2EFA"/>
    <w:rsid w:val="009C1440"/>
    <w:rsid w:val="009D301F"/>
    <w:rsid w:val="009E7A61"/>
    <w:rsid w:val="009F029C"/>
    <w:rsid w:val="009F1572"/>
    <w:rsid w:val="009F2F3E"/>
    <w:rsid w:val="009F5DDA"/>
    <w:rsid w:val="009F74A8"/>
    <w:rsid w:val="00A01611"/>
    <w:rsid w:val="00A04A92"/>
    <w:rsid w:val="00A04F92"/>
    <w:rsid w:val="00A06E22"/>
    <w:rsid w:val="00A11DCD"/>
    <w:rsid w:val="00A32214"/>
    <w:rsid w:val="00A442D7"/>
    <w:rsid w:val="00A4759E"/>
    <w:rsid w:val="00A54783"/>
    <w:rsid w:val="00A5525B"/>
    <w:rsid w:val="00A56D5F"/>
    <w:rsid w:val="00A6264E"/>
    <w:rsid w:val="00A6674E"/>
    <w:rsid w:val="00A76B76"/>
    <w:rsid w:val="00A83A6C"/>
    <w:rsid w:val="00A85BAB"/>
    <w:rsid w:val="00A87611"/>
    <w:rsid w:val="00A94B5A"/>
    <w:rsid w:val="00AA0444"/>
    <w:rsid w:val="00AA0DC5"/>
    <w:rsid w:val="00AB1830"/>
    <w:rsid w:val="00AB5733"/>
    <w:rsid w:val="00AC3032"/>
    <w:rsid w:val="00AE7262"/>
    <w:rsid w:val="00AE78C2"/>
    <w:rsid w:val="00AE7A3D"/>
    <w:rsid w:val="00AF6823"/>
    <w:rsid w:val="00B0797B"/>
    <w:rsid w:val="00B12BAB"/>
    <w:rsid w:val="00B20954"/>
    <w:rsid w:val="00B24AAC"/>
    <w:rsid w:val="00B26629"/>
    <w:rsid w:val="00B26F16"/>
    <w:rsid w:val="00B30EB2"/>
    <w:rsid w:val="00B35315"/>
    <w:rsid w:val="00B4771F"/>
    <w:rsid w:val="00B4784B"/>
    <w:rsid w:val="00B47D3D"/>
    <w:rsid w:val="00B51B79"/>
    <w:rsid w:val="00B605CE"/>
    <w:rsid w:val="00B629F9"/>
    <w:rsid w:val="00B649C4"/>
    <w:rsid w:val="00B72A54"/>
    <w:rsid w:val="00B82B64"/>
    <w:rsid w:val="00B84C4B"/>
    <w:rsid w:val="00B862BF"/>
    <w:rsid w:val="00B87B39"/>
    <w:rsid w:val="00B918FD"/>
    <w:rsid w:val="00B958AB"/>
    <w:rsid w:val="00BB11B9"/>
    <w:rsid w:val="00BB165D"/>
    <w:rsid w:val="00BB53B7"/>
    <w:rsid w:val="00BC2276"/>
    <w:rsid w:val="00BC42B6"/>
    <w:rsid w:val="00BD40C6"/>
    <w:rsid w:val="00BD4655"/>
    <w:rsid w:val="00BD4891"/>
    <w:rsid w:val="00BD5ECD"/>
    <w:rsid w:val="00BE0510"/>
    <w:rsid w:val="00BF1795"/>
    <w:rsid w:val="00BF5BE0"/>
    <w:rsid w:val="00C0086E"/>
    <w:rsid w:val="00C06505"/>
    <w:rsid w:val="00C0654C"/>
    <w:rsid w:val="00C11283"/>
    <w:rsid w:val="00C21405"/>
    <w:rsid w:val="00C21FFD"/>
    <w:rsid w:val="00C25F9D"/>
    <w:rsid w:val="00C31E83"/>
    <w:rsid w:val="00C433E6"/>
    <w:rsid w:val="00C518C1"/>
    <w:rsid w:val="00C53751"/>
    <w:rsid w:val="00C63F4F"/>
    <w:rsid w:val="00C84661"/>
    <w:rsid w:val="00C94576"/>
    <w:rsid w:val="00C94AF2"/>
    <w:rsid w:val="00C94C60"/>
    <w:rsid w:val="00C9530F"/>
    <w:rsid w:val="00C9668C"/>
    <w:rsid w:val="00C969FA"/>
    <w:rsid w:val="00C97577"/>
    <w:rsid w:val="00C97B93"/>
    <w:rsid w:val="00CA71A8"/>
    <w:rsid w:val="00CB0061"/>
    <w:rsid w:val="00CB4CB9"/>
    <w:rsid w:val="00CB62D4"/>
    <w:rsid w:val="00CC0AF3"/>
    <w:rsid w:val="00CC3E7A"/>
    <w:rsid w:val="00CD18DD"/>
    <w:rsid w:val="00CE1AC1"/>
    <w:rsid w:val="00CE2F26"/>
    <w:rsid w:val="00CE3FB3"/>
    <w:rsid w:val="00D14427"/>
    <w:rsid w:val="00D37A14"/>
    <w:rsid w:val="00D41731"/>
    <w:rsid w:val="00D41C5C"/>
    <w:rsid w:val="00D50FE1"/>
    <w:rsid w:val="00D56C09"/>
    <w:rsid w:val="00D64DF4"/>
    <w:rsid w:val="00D65F02"/>
    <w:rsid w:val="00D66868"/>
    <w:rsid w:val="00D73AC6"/>
    <w:rsid w:val="00D75FF8"/>
    <w:rsid w:val="00D80D3B"/>
    <w:rsid w:val="00D83A13"/>
    <w:rsid w:val="00D853A8"/>
    <w:rsid w:val="00D91E8B"/>
    <w:rsid w:val="00D96DC2"/>
    <w:rsid w:val="00DA1FB2"/>
    <w:rsid w:val="00DA73A0"/>
    <w:rsid w:val="00DB23D4"/>
    <w:rsid w:val="00DB607F"/>
    <w:rsid w:val="00DB63D4"/>
    <w:rsid w:val="00DD024E"/>
    <w:rsid w:val="00DD69AE"/>
    <w:rsid w:val="00DE2B7A"/>
    <w:rsid w:val="00DE645F"/>
    <w:rsid w:val="00DF1433"/>
    <w:rsid w:val="00DF4FCD"/>
    <w:rsid w:val="00DF7C07"/>
    <w:rsid w:val="00E003C2"/>
    <w:rsid w:val="00E06348"/>
    <w:rsid w:val="00E235F7"/>
    <w:rsid w:val="00E33DFE"/>
    <w:rsid w:val="00E33FD1"/>
    <w:rsid w:val="00E34824"/>
    <w:rsid w:val="00E36AF7"/>
    <w:rsid w:val="00E4755D"/>
    <w:rsid w:val="00E47897"/>
    <w:rsid w:val="00E50599"/>
    <w:rsid w:val="00E641DE"/>
    <w:rsid w:val="00E772C5"/>
    <w:rsid w:val="00E919AB"/>
    <w:rsid w:val="00E93A54"/>
    <w:rsid w:val="00EB33FD"/>
    <w:rsid w:val="00EC63A4"/>
    <w:rsid w:val="00EC7B24"/>
    <w:rsid w:val="00ED1712"/>
    <w:rsid w:val="00ED3FB9"/>
    <w:rsid w:val="00EE7E7F"/>
    <w:rsid w:val="00F00EC5"/>
    <w:rsid w:val="00F1226B"/>
    <w:rsid w:val="00F15B95"/>
    <w:rsid w:val="00F32980"/>
    <w:rsid w:val="00F50311"/>
    <w:rsid w:val="00F56CE6"/>
    <w:rsid w:val="00F64260"/>
    <w:rsid w:val="00F80AA4"/>
    <w:rsid w:val="00F871BA"/>
    <w:rsid w:val="00F94B85"/>
    <w:rsid w:val="00FA484B"/>
    <w:rsid w:val="00FA6359"/>
    <w:rsid w:val="00FA6998"/>
    <w:rsid w:val="00FA769F"/>
    <w:rsid w:val="00FA78CA"/>
    <w:rsid w:val="00FB6CDC"/>
    <w:rsid w:val="00FE05B0"/>
    <w:rsid w:val="00FF0B61"/>
    <w:rsid w:val="00FF10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9AB2D18A-E48A-4B45-AC8F-B4EAD86B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F50311"/>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6A0334"/>
    <w:rPr>
      <w:rFonts w:cs="Gotham Light"/>
      <w:i/>
      <w:iCs/>
      <w:color w:val="000000"/>
    </w:rPr>
  </w:style>
  <w:style w:type="paragraph" w:styleId="NormalWeb">
    <w:name w:val="Normal (Web)"/>
    <w:basedOn w:val="Normal"/>
    <w:uiPriority w:val="99"/>
    <w:unhideWhenUsed/>
    <w:rsid w:val="007820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67Z3ZXSPZZWZ-954-92</_dlc_DocId>
    <_dlc_DocIdUrl xmlns="67887a43-7e4d-4c1c-91d7-15e417b1b8ab">
      <Url>https://w3.ric.edu/graduate_committee/_layouts/15/DocIdRedir.aspx?ID=67Z3ZXSPZZWZ-954-92</Url>
      <Description>67Z3ZXSPZZWZ-954-92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BC64D-76CE-4216-BDDC-E885DC084E47}"/>
</file>

<file path=customXml/itemProps2.xml><?xml version="1.0" encoding="utf-8"?>
<ds:datastoreItem xmlns:ds="http://schemas.openxmlformats.org/officeDocument/2006/customXml" ds:itemID="{E8EBE373-3B3D-465C-866C-478AB2AC7D48}"/>
</file>

<file path=customXml/itemProps3.xml><?xml version="1.0" encoding="utf-8"?>
<ds:datastoreItem xmlns:ds="http://schemas.openxmlformats.org/officeDocument/2006/customXml" ds:itemID="{4DE9E9C5-7E5C-4A06-9E4E-6A255E947416}"/>
</file>

<file path=customXml/itemProps4.xml><?xml version="1.0" encoding="utf-8"?>
<ds:datastoreItem xmlns:ds="http://schemas.openxmlformats.org/officeDocument/2006/customXml" ds:itemID="{8B8C09EE-8D52-4021-B967-FFE6B74A0A83}"/>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4</cp:revision>
  <cp:lastPrinted>2018-10-03T16:22:00Z</cp:lastPrinted>
  <dcterms:created xsi:type="dcterms:W3CDTF">2018-10-23T19:37:00Z</dcterms:created>
  <dcterms:modified xsi:type="dcterms:W3CDTF">2018-10-23T19:40:00Z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314b6735-da77-4282-95d8-0f3c81319def</vt:lpwstr>
  </property>
</Properties>
</file>