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rPr>
        <w:t>ALL number</w:t>
      </w:r>
      <w:r w:rsidR="006E365C" w:rsidRPr="00CD4615">
        <w:rPr>
          <w:b/>
          <w:color w:val="FF0000"/>
        </w:rPr>
        <w:t>ed categories</w:t>
      </w:r>
      <w:r w:rsidR="009B4B02" w:rsidRPr="00CD4615">
        <w:rPr>
          <w:b/>
          <w:color w:val="FF0000"/>
        </w:rPr>
        <w:t xml:space="preserve"> in section </w:t>
      </w:r>
      <w:r w:rsidR="00B85F49" w:rsidRPr="00CD4615">
        <w:rPr>
          <w:b/>
          <w:color w:val="FF0000"/>
        </w:rPr>
        <w:t>(</w:t>
      </w:r>
      <w:r w:rsidR="009B4B02" w:rsidRPr="00CD4615">
        <w:rPr>
          <w:b/>
          <w:color w:val="FF0000"/>
        </w:rPr>
        <w:t>A</w:t>
      </w:r>
      <w:r w:rsidR="00B85F49" w:rsidRPr="00CD4615">
        <w:rPr>
          <w:b/>
          <w:color w:val="FF0000"/>
        </w:rPr>
        <w:t>)</w:t>
      </w:r>
      <w:r w:rsidR="009B4B02" w:rsidRPr="00CD4615">
        <w:rPr>
          <w:b/>
          <w:color w:val="FF0000"/>
        </w:rPr>
        <w:t xml:space="preserve"> </w:t>
      </w:r>
      <w:r w:rsidR="006E365C" w:rsidRPr="00CD4615">
        <w:rPr>
          <w:b/>
          <w:color w:val="FF0000"/>
        </w:rPr>
        <w:t xml:space="preserve">must </w:t>
      </w:r>
      <w:r w:rsidR="009B4B02" w:rsidRPr="00CD4615">
        <w:rPr>
          <w:b/>
          <w:color w:val="FF0000"/>
        </w:rPr>
        <w:t>be completed</w:t>
      </w:r>
      <w:r w:rsidR="006E365C" w:rsidRPr="00CD4615">
        <w:rPr>
          <w:b/>
          <w:color w:val="FF0000"/>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EEDCB26" w:rsidR="00F64260" w:rsidRPr="00A83A6C" w:rsidRDefault="00F352C9" w:rsidP="00F33C92">
            <w:pPr>
              <w:pStyle w:val="Heading5"/>
              <w:rPr>
                <w:b/>
              </w:rPr>
            </w:pPr>
            <w:bookmarkStart w:id="0" w:name="Proposal"/>
            <w:bookmarkEnd w:id="0"/>
            <w:r>
              <w:rPr>
                <w:b/>
              </w:rPr>
              <w:t>Pol 335</w:t>
            </w:r>
            <w:r w:rsidR="00F33C92">
              <w:rPr>
                <w:b/>
              </w:rPr>
              <w:t xml:space="preserve"> </w:t>
            </w:r>
            <w:r w:rsidR="00F33C92" w:rsidRPr="00F33C92">
              <w:rPr>
                <w:rFonts w:asciiTheme="majorHAnsi" w:hAnsiTheme="majorHAnsi" w:cstheme="majorHAnsi"/>
                <w:b/>
              </w:rPr>
              <w:t>Jurisprudence and the American Judicial Process</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47FC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20F138"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74EF8A7"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643A14D"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8C6BF4C" w:rsidR="00F64260" w:rsidRPr="00B605CE" w:rsidRDefault="00F352C9" w:rsidP="00B862BF">
            <w:pPr>
              <w:rPr>
                <w:b/>
              </w:rPr>
            </w:pPr>
            <w:bookmarkStart w:id="6" w:name="Originator"/>
            <w:bookmarkEnd w:id="6"/>
            <w:r>
              <w:rPr>
                <w:b/>
              </w:rPr>
              <w:t>Thomas Schmeling</w:t>
            </w:r>
          </w:p>
        </w:tc>
        <w:tc>
          <w:tcPr>
            <w:tcW w:w="1210" w:type="pct"/>
          </w:tcPr>
          <w:p w14:paraId="788D9512" w14:textId="19B60691" w:rsidR="00F64260" w:rsidRPr="00946B20" w:rsidRDefault="00D47FC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0BA6BA" w:rsidR="00F64260" w:rsidRPr="00B605CE" w:rsidRDefault="00F352C9" w:rsidP="00B862BF">
            <w:pPr>
              <w:rPr>
                <w:b/>
              </w:rPr>
            </w:pPr>
            <w:bookmarkStart w:id="7" w:name="home_dept"/>
            <w:bookmarkEnd w:id="7"/>
            <w:r>
              <w:rPr>
                <w:b/>
              </w:rPr>
              <w:t>Political Science</w:t>
            </w:r>
          </w:p>
        </w:tc>
      </w:tr>
      <w:tr w:rsidR="00F352C9" w:rsidRPr="006E3AF2" w14:paraId="2EB2F82D" w14:textId="77777777" w:rsidTr="00CC03A7">
        <w:tc>
          <w:tcPr>
            <w:tcW w:w="1111" w:type="pct"/>
            <w:vAlign w:val="center"/>
          </w:tcPr>
          <w:p w14:paraId="1B74C4DB" w14:textId="0E92AC00" w:rsidR="00F352C9" w:rsidRPr="00E500F9" w:rsidRDefault="00F352C9" w:rsidP="00F352C9">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7E3849C0" w14:textId="60B78EA1" w:rsidR="00F352C9" w:rsidRPr="00B649C4" w:rsidRDefault="00F352C9" w:rsidP="00F352C9">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1FD4E82" w14:textId="77777777" w:rsidR="00F352C9" w:rsidRPr="00323DD8" w:rsidRDefault="00F352C9" w:rsidP="00F352C9">
            <w:pPr>
              <w:rPr>
                <w:rFonts w:ascii="Calibri" w:hAnsi="Calibri" w:cs="Calibri"/>
                <w:bCs/>
              </w:rPr>
            </w:pPr>
            <w:bookmarkStart w:id="8" w:name="Rationale"/>
            <w:bookmarkEnd w:id="8"/>
          </w:p>
          <w:p w14:paraId="6A8C46AB" w14:textId="77777777" w:rsidR="00550AD6" w:rsidRPr="00277DAF" w:rsidRDefault="00F034A6" w:rsidP="00F352C9">
            <w:pPr>
              <w:rPr>
                <w:rFonts w:ascii="Calibri" w:hAnsi="Calibri" w:cs="Calibri"/>
                <w:bCs/>
              </w:rPr>
            </w:pPr>
            <w:r w:rsidRPr="00277DAF">
              <w:rPr>
                <w:rFonts w:ascii="Calibri" w:hAnsi="Calibri" w:cs="Calibri"/>
                <w:bCs/>
              </w:rPr>
              <w:t xml:space="preserve">Proposal: </w:t>
            </w:r>
            <w:r w:rsidR="00F352C9" w:rsidRPr="00277DAF">
              <w:rPr>
                <w:rFonts w:ascii="Calibri" w:hAnsi="Calibri" w:cs="Calibri"/>
                <w:bCs/>
              </w:rPr>
              <w:t xml:space="preserve"> </w:t>
            </w:r>
          </w:p>
          <w:p w14:paraId="6E3EB1D5" w14:textId="22887007" w:rsidR="00550AD6" w:rsidRDefault="00550AD6" w:rsidP="00550AD6">
            <w:pPr>
              <w:pStyle w:val="ListParagraph"/>
              <w:numPr>
                <w:ilvl w:val="0"/>
                <w:numId w:val="15"/>
              </w:numPr>
              <w:rPr>
                <w:rFonts w:ascii="Calibri" w:hAnsi="Calibri" w:cs="Calibri"/>
                <w:bCs/>
                <w:sz w:val="24"/>
                <w:szCs w:val="24"/>
              </w:rPr>
            </w:pPr>
            <w:r w:rsidRPr="00277DAF">
              <w:rPr>
                <w:rFonts w:ascii="Calibri" w:hAnsi="Calibri" w:cs="Calibri"/>
                <w:bCs/>
                <w:sz w:val="24"/>
                <w:szCs w:val="24"/>
              </w:rPr>
              <w:t>Renumber POL335</w:t>
            </w:r>
            <w:r w:rsidR="003113B2" w:rsidRPr="00277DAF">
              <w:rPr>
                <w:rFonts w:ascii="Calibri" w:hAnsi="Calibri" w:cs="Calibri"/>
                <w:bCs/>
                <w:sz w:val="24"/>
                <w:szCs w:val="24"/>
              </w:rPr>
              <w:t xml:space="preserve"> to</w:t>
            </w:r>
            <w:r w:rsidRPr="00277DAF">
              <w:rPr>
                <w:rFonts w:ascii="Calibri" w:hAnsi="Calibri" w:cs="Calibri"/>
                <w:bCs/>
                <w:sz w:val="24"/>
                <w:szCs w:val="24"/>
              </w:rPr>
              <w:t xml:space="preserve"> POL330</w:t>
            </w:r>
          </w:p>
          <w:p w14:paraId="673E897E" w14:textId="34C07458" w:rsidR="0028586D" w:rsidRPr="0028586D" w:rsidRDefault="0028586D" w:rsidP="0028586D">
            <w:pPr>
              <w:pStyle w:val="ListParagraph"/>
              <w:numPr>
                <w:ilvl w:val="0"/>
                <w:numId w:val="15"/>
              </w:numPr>
              <w:rPr>
                <w:rFonts w:ascii="Calibri" w:hAnsi="Calibri" w:cs="Calibri"/>
                <w:bCs/>
                <w:sz w:val="24"/>
                <w:szCs w:val="24"/>
              </w:rPr>
            </w:pPr>
            <w:r>
              <w:rPr>
                <w:rFonts w:ascii="Calibri" w:hAnsi="Calibri" w:cs="Calibri"/>
                <w:bCs/>
                <w:sz w:val="24"/>
                <w:szCs w:val="24"/>
              </w:rPr>
              <w:t>Minor revision to course description</w:t>
            </w:r>
          </w:p>
          <w:p w14:paraId="7DB9B361" w14:textId="74A7EA0E" w:rsidR="00F352C9" w:rsidRDefault="00726EED" w:rsidP="00550AD6">
            <w:pPr>
              <w:pStyle w:val="ListParagraph"/>
              <w:numPr>
                <w:ilvl w:val="0"/>
                <w:numId w:val="15"/>
              </w:numPr>
              <w:rPr>
                <w:rFonts w:ascii="Calibri" w:hAnsi="Calibri" w:cs="Calibri"/>
                <w:bCs/>
                <w:sz w:val="24"/>
                <w:szCs w:val="24"/>
              </w:rPr>
            </w:pPr>
            <w:r>
              <w:rPr>
                <w:rFonts w:ascii="Calibri" w:hAnsi="Calibri" w:cs="Calibri"/>
                <w:bCs/>
                <w:sz w:val="24"/>
                <w:szCs w:val="24"/>
              </w:rPr>
              <w:t>Change</w:t>
            </w:r>
            <w:r w:rsidR="00F352C9" w:rsidRPr="00277DAF">
              <w:rPr>
                <w:rFonts w:ascii="Calibri" w:hAnsi="Calibri" w:cs="Calibri"/>
                <w:bCs/>
                <w:sz w:val="24"/>
                <w:szCs w:val="24"/>
              </w:rPr>
              <w:t xml:space="preserve"> to four credits.</w:t>
            </w:r>
          </w:p>
          <w:p w14:paraId="58238E7E" w14:textId="77777777" w:rsidR="00F352C9" w:rsidRPr="00323DD8" w:rsidRDefault="00F352C9" w:rsidP="00F352C9">
            <w:pPr>
              <w:rPr>
                <w:rFonts w:ascii="Calibri" w:hAnsi="Calibri" w:cs="Calibri"/>
                <w:bCs/>
              </w:rPr>
            </w:pPr>
          </w:p>
          <w:p w14:paraId="382F6C68" w14:textId="55FD9831" w:rsidR="00550AD6" w:rsidRPr="00550AD6" w:rsidRDefault="00550AD6" w:rsidP="00F352C9">
            <w:pPr>
              <w:rPr>
                <w:rFonts w:ascii="Calibri" w:hAnsi="Calibri" w:cs="Calibri"/>
                <w:bCs/>
              </w:rPr>
            </w:pPr>
            <w:r>
              <w:rPr>
                <w:rFonts w:ascii="Calibri" w:hAnsi="Calibri" w:cs="Calibri"/>
                <w:bCs/>
              </w:rPr>
              <w:t>The Law &amp; Courts courses in Political Science are</w:t>
            </w:r>
            <w:r w:rsidR="006E520A">
              <w:rPr>
                <w:rFonts w:ascii="Calibri" w:hAnsi="Calibri" w:cs="Calibri"/>
                <w:bCs/>
              </w:rPr>
              <w:t xml:space="preserve"> currently</w:t>
            </w:r>
            <w:r>
              <w:rPr>
                <w:rFonts w:ascii="Calibri" w:hAnsi="Calibri" w:cs="Calibri"/>
                <w:bCs/>
              </w:rPr>
              <w:t xml:space="preserve"> numbered </w:t>
            </w:r>
            <w:r w:rsidR="003113B2">
              <w:rPr>
                <w:rFonts w:ascii="Calibri" w:hAnsi="Calibri" w:cs="Calibri"/>
                <w:bCs/>
              </w:rPr>
              <w:t>331-335</w:t>
            </w:r>
            <w:r>
              <w:rPr>
                <w:rFonts w:ascii="Calibri" w:hAnsi="Calibri" w:cs="Calibri"/>
                <w:bCs/>
              </w:rPr>
              <w:t>. The higher numbe</w:t>
            </w:r>
            <w:r w:rsidR="003113B2">
              <w:rPr>
                <w:rFonts w:ascii="Calibri" w:hAnsi="Calibri" w:cs="Calibri"/>
                <w:bCs/>
              </w:rPr>
              <w:t>r</w:t>
            </w:r>
            <w:r w:rsidR="00AB15DD">
              <w:rPr>
                <w:rFonts w:ascii="Calibri" w:hAnsi="Calibri" w:cs="Calibri"/>
                <w:bCs/>
              </w:rPr>
              <w:t xml:space="preserve"> or</w:t>
            </w:r>
            <w:r w:rsidR="003113B2">
              <w:rPr>
                <w:rFonts w:ascii="Calibri" w:hAnsi="Calibri" w:cs="Calibri"/>
                <w:bCs/>
              </w:rPr>
              <w:t xml:space="preserve"> 335</w:t>
            </w:r>
            <w:r>
              <w:rPr>
                <w:rFonts w:ascii="Calibri" w:hAnsi="Calibri" w:cs="Calibri"/>
                <w:bCs/>
              </w:rPr>
              <w:t xml:space="preserve"> sometimes makes students think that it should be taken </w:t>
            </w:r>
            <w:r>
              <w:rPr>
                <w:rFonts w:ascii="Calibri" w:hAnsi="Calibri" w:cs="Calibri"/>
                <w:bCs/>
                <w:i/>
                <w:iCs/>
              </w:rPr>
              <w:t>after</w:t>
            </w:r>
            <w:r>
              <w:rPr>
                <w:rFonts w:ascii="Calibri" w:hAnsi="Calibri" w:cs="Calibri"/>
                <w:bCs/>
              </w:rPr>
              <w:t xml:space="preserve"> </w:t>
            </w:r>
            <w:r w:rsidR="003113B2">
              <w:rPr>
                <w:rFonts w:ascii="Calibri" w:hAnsi="Calibri" w:cs="Calibri"/>
                <w:bCs/>
              </w:rPr>
              <w:t>the other courses</w:t>
            </w:r>
            <w:r>
              <w:rPr>
                <w:rFonts w:ascii="Calibri" w:hAnsi="Calibri" w:cs="Calibri"/>
                <w:bCs/>
              </w:rPr>
              <w:t>.  While POL 335 is not a prerequisite for any of the other courses, it is more general in its focus</w:t>
            </w:r>
            <w:r w:rsidR="003113B2">
              <w:rPr>
                <w:rFonts w:ascii="Calibri" w:hAnsi="Calibri" w:cs="Calibri"/>
                <w:bCs/>
              </w:rPr>
              <w:t xml:space="preserve"> and is </w:t>
            </w:r>
            <w:r w:rsidR="00AB15DD">
              <w:rPr>
                <w:rFonts w:ascii="Calibri" w:hAnsi="Calibri" w:cs="Calibri"/>
                <w:bCs/>
              </w:rPr>
              <w:t xml:space="preserve">appropriate </w:t>
            </w:r>
            <w:r w:rsidR="006E520A">
              <w:rPr>
                <w:rFonts w:ascii="Calibri" w:hAnsi="Calibri" w:cs="Calibri"/>
                <w:bCs/>
              </w:rPr>
              <w:t xml:space="preserve">a </w:t>
            </w:r>
            <w:r w:rsidR="00AB15DD">
              <w:rPr>
                <w:rFonts w:ascii="Calibri" w:hAnsi="Calibri" w:cs="Calibri"/>
                <w:bCs/>
              </w:rPr>
              <w:t>first</w:t>
            </w:r>
            <w:r w:rsidR="006E520A">
              <w:rPr>
                <w:rFonts w:ascii="Calibri" w:hAnsi="Calibri" w:cs="Calibri"/>
                <w:bCs/>
              </w:rPr>
              <w:t xml:space="preserve"> or second law</w:t>
            </w:r>
            <w:r w:rsidR="00AB15DD">
              <w:rPr>
                <w:rFonts w:ascii="Calibri" w:hAnsi="Calibri" w:cs="Calibri"/>
                <w:bCs/>
              </w:rPr>
              <w:t xml:space="preserve"> course</w:t>
            </w:r>
          </w:p>
          <w:p w14:paraId="40CE46EF" w14:textId="77777777" w:rsidR="00550AD6" w:rsidRDefault="00550AD6" w:rsidP="00F352C9">
            <w:pPr>
              <w:rPr>
                <w:rFonts w:ascii="Calibri" w:hAnsi="Calibri" w:cs="Calibri"/>
                <w:bCs/>
              </w:rPr>
            </w:pPr>
          </w:p>
          <w:p w14:paraId="671E5428" w14:textId="563C159B" w:rsidR="00F352C9" w:rsidRDefault="00F352C9" w:rsidP="00F352C9">
            <w:pPr>
              <w:rPr>
                <w:rFonts w:ascii="Calibri" w:hAnsi="Calibri" w:cs="Calibri"/>
                <w:bCs/>
              </w:rPr>
            </w:pPr>
            <w:r w:rsidRPr="00323DD8">
              <w:rPr>
                <w:rFonts w:ascii="Calibri" w:hAnsi="Calibri" w:cs="Calibri"/>
                <w:bCs/>
              </w:rPr>
              <w:t>POL335 is one of the few remaining Political Science courses that have not been converted from 3 to 4 credits. This is largely due to the course having been taught by adjunct faculty</w:t>
            </w:r>
            <w:r w:rsidR="00F034A6" w:rsidRPr="00323DD8">
              <w:rPr>
                <w:rFonts w:ascii="Calibri" w:hAnsi="Calibri" w:cs="Calibri"/>
                <w:bCs/>
              </w:rPr>
              <w:t xml:space="preserve"> in recent years.</w:t>
            </w:r>
          </w:p>
          <w:p w14:paraId="5A15B9A4" w14:textId="0E7FBCB8" w:rsidR="0028586D" w:rsidRDefault="0028586D" w:rsidP="00F352C9">
            <w:pPr>
              <w:rPr>
                <w:rFonts w:ascii="Calibri" w:hAnsi="Calibri" w:cs="Calibri"/>
                <w:bCs/>
              </w:rPr>
            </w:pPr>
          </w:p>
          <w:p w14:paraId="5577A726" w14:textId="3B50B807" w:rsidR="0028586D" w:rsidRPr="00323DD8" w:rsidRDefault="0028586D" w:rsidP="00F352C9">
            <w:pPr>
              <w:rPr>
                <w:rFonts w:ascii="Calibri" w:hAnsi="Calibri" w:cs="Calibri"/>
                <w:bCs/>
              </w:rPr>
            </w:pPr>
            <w:r>
              <w:rPr>
                <w:rFonts w:ascii="Calibri" w:hAnsi="Calibri" w:cs="Calibri"/>
                <w:bCs/>
              </w:rPr>
              <w:t>The description is update</w:t>
            </w:r>
            <w:r w:rsidR="004A0C80">
              <w:rPr>
                <w:rFonts w:ascii="Calibri" w:hAnsi="Calibri" w:cs="Calibri"/>
                <w:bCs/>
              </w:rPr>
              <w:t>d</w:t>
            </w:r>
            <w:r>
              <w:rPr>
                <w:rFonts w:ascii="Calibri" w:hAnsi="Calibri" w:cs="Calibri"/>
                <w:bCs/>
              </w:rPr>
              <w:t xml:space="preserve"> to reduce the use of passive voice and add clarity regarding content</w:t>
            </w:r>
            <w:r w:rsidR="004A0C80">
              <w:rPr>
                <w:rFonts w:ascii="Calibri" w:hAnsi="Calibri" w:cs="Calibri"/>
                <w:bCs/>
              </w:rPr>
              <w:t xml:space="preserve">. </w:t>
            </w:r>
            <w:r w:rsidR="006E520A">
              <w:rPr>
                <w:rFonts w:ascii="Calibri" w:hAnsi="Calibri" w:cs="Calibri"/>
                <w:bCs/>
              </w:rPr>
              <w:t xml:space="preserve"> </w:t>
            </w:r>
          </w:p>
          <w:p w14:paraId="118F8150" w14:textId="77777777" w:rsidR="00F352C9" w:rsidRPr="00323DD8" w:rsidRDefault="00F352C9" w:rsidP="00F352C9">
            <w:pPr>
              <w:rPr>
                <w:rFonts w:ascii="Calibri" w:hAnsi="Calibri" w:cs="Calibri"/>
                <w:bCs/>
              </w:rPr>
            </w:pPr>
          </w:p>
          <w:p w14:paraId="49609A6D" w14:textId="513BED0C" w:rsidR="00F352C9" w:rsidRPr="00323DD8" w:rsidRDefault="00F352C9" w:rsidP="00F352C9">
            <w:pPr>
              <w:rPr>
                <w:rFonts w:ascii="Calibri" w:hAnsi="Calibri" w:cs="Calibri"/>
                <w:bCs/>
              </w:rPr>
            </w:pPr>
            <w:r w:rsidRPr="00323DD8">
              <w:rPr>
                <w:rFonts w:ascii="Calibri" w:hAnsi="Calibri" w:cs="Calibri"/>
                <w:bCs/>
              </w:rPr>
              <w:t xml:space="preserve">The rationale for the change </w:t>
            </w:r>
            <w:r w:rsidR="0028586D">
              <w:rPr>
                <w:rFonts w:ascii="Calibri" w:hAnsi="Calibri" w:cs="Calibri"/>
                <w:bCs/>
              </w:rPr>
              <w:t xml:space="preserve">to four credits </w:t>
            </w:r>
            <w:r w:rsidRPr="00323DD8">
              <w:rPr>
                <w:rFonts w:ascii="Calibri" w:hAnsi="Calibri" w:cs="Calibri"/>
                <w:bCs/>
              </w:rPr>
              <w:t>is largely pedagogical, though it will have other benefits as well.</w:t>
            </w:r>
          </w:p>
          <w:p w14:paraId="1A112290" w14:textId="77777777" w:rsidR="00F352C9" w:rsidRPr="00323DD8" w:rsidRDefault="00F352C9" w:rsidP="00F352C9">
            <w:pPr>
              <w:rPr>
                <w:rFonts w:ascii="Calibri" w:hAnsi="Calibri" w:cs="Calibri"/>
                <w:bCs/>
              </w:rPr>
            </w:pPr>
          </w:p>
          <w:p w14:paraId="1E67B56C" w14:textId="08EF6AD8" w:rsidR="00F352C9" w:rsidRPr="00323DD8" w:rsidRDefault="00F352C9" w:rsidP="00F352C9">
            <w:pPr>
              <w:rPr>
                <w:rFonts w:ascii="Calibri" w:hAnsi="Calibri" w:cs="Calibri"/>
                <w:bCs/>
              </w:rPr>
            </w:pPr>
            <w:r w:rsidRPr="00323DD8">
              <w:rPr>
                <w:rFonts w:ascii="Calibri" w:hAnsi="Calibri" w:cs="Calibri"/>
                <w:bCs/>
                <w:i/>
              </w:rPr>
              <w:t>Incorporation of</w:t>
            </w:r>
            <w:r w:rsidRPr="00323DD8">
              <w:rPr>
                <w:rFonts w:ascii="Calibri" w:hAnsi="Calibri" w:cs="Calibri"/>
                <w:bCs/>
              </w:rPr>
              <w:t xml:space="preserve"> </w:t>
            </w:r>
            <w:r w:rsidRPr="00323DD8">
              <w:rPr>
                <w:rFonts w:ascii="Calibri" w:hAnsi="Calibri" w:cs="Calibri"/>
                <w:bCs/>
                <w:i/>
              </w:rPr>
              <w:t>active learning components</w:t>
            </w:r>
            <w:r w:rsidRPr="00323DD8">
              <w:rPr>
                <w:rFonts w:ascii="Calibri" w:hAnsi="Calibri" w:cs="Calibri"/>
                <w:bCs/>
              </w:rPr>
              <w:t xml:space="preserve">: In a course that focuses on courts and court decisions, a “you be the judge” segment provides an apt context for active student learning.  After exposure to relevant principles of law though readings and </w:t>
            </w:r>
            <w:r w:rsidRPr="00323DD8">
              <w:rPr>
                <w:rFonts w:ascii="Calibri" w:hAnsi="Calibri" w:cs="Calibri"/>
                <w:bCs/>
              </w:rPr>
              <w:lastRenderedPageBreak/>
              <w:t xml:space="preserve">lecture, and exploration the implications of these principles in class discussion, students are presented with a hypothetical fact situation and asked </w:t>
            </w:r>
            <w:proofErr w:type="gramStart"/>
            <w:r w:rsidRPr="00323DD8">
              <w:rPr>
                <w:rFonts w:ascii="Calibri" w:hAnsi="Calibri" w:cs="Calibri"/>
                <w:bCs/>
              </w:rPr>
              <w:t>play</w:t>
            </w:r>
            <w:proofErr w:type="gramEnd"/>
            <w:r w:rsidRPr="00323DD8">
              <w:rPr>
                <w:rFonts w:ascii="Calibri" w:hAnsi="Calibri" w:cs="Calibri"/>
                <w:bCs/>
              </w:rPr>
              <w:t xml:space="preserve"> the role of a juror or judge applying the legal principles they have learned to render a decision and explain their reasoning.  </w:t>
            </w:r>
          </w:p>
          <w:p w14:paraId="0BA7B22D" w14:textId="77777777" w:rsidR="00F352C9" w:rsidRPr="00323DD8" w:rsidRDefault="00F352C9" w:rsidP="00F352C9">
            <w:pPr>
              <w:rPr>
                <w:rFonts w:ascii="Calibri" w:hAnsi="Calibri" w:cs="Calibri"/>
                <w:bCs/>
              </w:rPr>
            </w:pPr>
          </w:p>
          <w:p w14:paraId="3B6B15D4" w14:textId="77777777" w:rsidR="00F352C9" w:rsidRPr="00323DD8" w:rsidRDefault="00F352C9" w:rsidP="00F352C9">
            <w:pPr>
              <w:rPr>
                <w:rFonts w:ascii="Calibri" w:hAnsi="Calibri" w:cs="Calibri"/>
                <w:bCs/>
              </w:rPr>
            </w:pPr>
            <w:r w:rsidRPr="00323DD8">
              <w:rPr>
                <w:rFonts w:ascii="Calibri" w:hAnsi="Calibri" w:cs="Calibri"/>
                <w:bCs/>
              </w:rPr>
              <w:t>This can be done in several ways:</w:t>
            </w:r>
          </w:p>
          <w:p w14:paraId="163149AC" w14:textId="7161AEC5" w:rsidR="00F352C9" w:rsidRPr="00323DD8" w:rsidRDefault="00F352C9" w:rsidP="00F352C9">
            <w:pPr>
              <w:ind w:left="288"/>
              <w:rPr>
                <w:rFonts w:ascii="Calibri" w:hAnsi="Calibri" w:cs="Calibri"/>
                <w:bCs/>
              </w:rPr>
            </w:pPr>
            <w:r w:rsidRPr="00323DD8">
              <w:rPr>
                <w:rFonts w:ascii="Calibri" w:hAnsi="Calibri" w:cs="Calibri"/>
                <w:bCs/>
              </w:rPr>
              <w:t xml:space="preserve">A. Students role-play as trial judges, rendering a verdict based on case facts and the law.  This allows them to test their knowledge of legal principles. In debriefing after the simulation, the decision of the real-life judge is revealed. Comparing that decision to their own not only helps them understand the principles better, but </w:t>
            </w:r>
            <w:r w:rsidR="00277DAF">
              <w:rPr>
                <w:rFonts w:ascii="Calibri" w:hAnsi="Calibri" w:cs="Calibri"/>
                <w:bCs/>
              </w:rPr>
              <w:t>a</w:t>
            </w:r>
            <w:r w:rsidR="00277DAF">
              <w:rPr>
                <w:bCs/>
              </w:rPr>
              <w:t xml:space="preserve">lso </w:t>
            </w:r>
            <w:r w:rsidRPr="00323DD8">
              <w:rPr>
                <w:rFonts w:ascii="Calibri" w:hAnsi="Calibri" w:cs="Calibri"/>
                <w:bCs/>
              </w:rPr>
              <w:t>illustrates the role of judicial discretion and why different judges can reach different verdict under the same set of facts.</w:t>
            </w:r>
          </w:p>
          <w:p w14:paraId="7BE41549" w14:textId="77777777" w:rsidR="00F352C9" w:rsidRPr="00323DD8" w:rsidRDefault="00F352C9" w:rsidP="00F352C9">
            <w:pPr>
              <w:ind w:left="288"/>
              <w:rPr>
                <w:rFonts w:ascii="Calibri" w:hAnsi="Calibri" w:cs="Calibri"/>
                <w:bCs/>
              </w:rPr>
            </w:pPr>
          </w:p>
          <w:p w14:paraId="78118E7F" w14:textId="77777777" w:rsidR="00F352C9" w:rsidRPr="00323DD8" w:rsidRDefault="00F352C9" w:rsidP="00F352C9">
            <w:pPr>
              <w:ind w:left="288"/>
              <w:rPr>
                <w:rFonts w:ascii="Calibri" w:hAnsi="Calibri" w:cs="Calibri"/>
                <w:bCs/>
              </w:rPr>
            </w:pPr>
            <w:r w:rsidRPr="00323DD8">
              <w:rPr>
                <w:rFonts w:ascii="Calibri" w:hAnsi="Calibri" w:cs="Calibri"/>
                <w:bCs/>
              </w:rPr>
              <w:t>B. Students role-play as jurors rendering a verdict. This tests their knowledge of legal principles and helps them understand the dynamics of collective decision-making.  Comparing their own experience with videos of actual jury deliberations allows them to understand jury dynamics more fully.</w:t>
            </w:r>
          </w:p>
          <w:p w14:paraId="54949D70" w14:textId="77777777" w:rsidR="00F352C9" w:rsidRPr="00323DD8" w:rsidRDefault="00F352C9" w:rsidP="00F352C9">
            <w:pPr>
              <w:ind w:left="288"/>
              <w:rPr>
                <w:rFonts w:ascii="Calibri" w:hAnsi="Calibri" w:cs="Calibri"/>
                <w:bCs/>
              </w:rPr>
            </w:pPr>
          </w:p>
          <w:p w14:paraId="6468C2E7" w14:textId="77777777" w:rsidR="00F352C9" w:rsidRPr="00323DD8" w:rsidRDefault="00F352C9" w:rsidP="00F352C9">
            <w:pPr>
              <w:ind w:left="288"/>
              <w:rPr>
                <w:rFonts w:ascii="Calibri" w:hAnsi="Calibri" w:cs="Calibri"/>
                <w:bCs/>
              </w:rPr>
            </w:pPr>
            <w:r w:rsidRPr="00323DD8">
              <w:rPr>
                <w:rFonts w:ascii="Calibri" w:hAnsi="Calibri" w:cs="Calibri"/>
                <w:bCs/>
              </w:rPr>
              <w:t>C. Students role play as appellate judges reviewing the decision of a lower court.  Appellate courts are collegial bodies so this amounts to a group learning exercise. In addition to applying legal rules, students must argue persuasively to convince the other judges in the group and marshal support for their proposed decision. Appellate decisions are also (mostly) written decisions, so this provides an opportunity for in-class writing exercises.</w:t>
            </w:r>
          </w:p>
          <w:p w14:paraId="220A035E" w14:textId="77777777" w:rsidR="00F352C9" w:rsidRPr="00323DD8" w:rsidRDefault="00F352C9" w:rsidP="00F352C9">
            <w:pPr>
              <w:ind w:left="288"/>
              <w:rPr>
                <w:rFonts w:ascii="Calibri" w:hAnsi="Calibri" w:cs="Calibri"/>
                <w:bCs/>
              </w:rPr>
            </w:pPr>
          </w:p>
          <w:p w14:paraId="752FF2C1" w14:textId="0E2B0257" w:rsidR="00F352C9" w:rsidRPr="00323DD8" w:rsidRDefault="00F352C9" w:rsidP="00F352C9">
            <w:pPr>
              <w:ind w:left="288"/>
              <w:rPr>
                <w:rFonts w:ascii="Calibri" w:hAnsi="Calibri" w:cs="Calibri"/>
                <w:bCs/>
              </w:rPr>
            </w:pPr>
            <w:r w:rsidRPr="00323DD8">
              <w:rPr>
                <w:rFonts w:ascii="Calibri" w:hAnsi="Calibri" w:cs="Calibri"/>
                <w:bCs/>
              </w:rPr>
              <w:t>One such exercises each week of class would easily fill the additional hour of contact time created by the move to 4 credits</w:t>
            </w:r>
          </w:p>
          <w:p w14:paraId="41EFFC68" w14:textId="77777777" w:rsidR="00F352C9" w:rsidRPr="00323DD8" w:rsidRDefault="00F352C9" w:rsidP="00F352C9">
            <w:pPr>
              <w:rPr>
                <w:rFonts w:ascii="Calibri" w:hAnsi="Calibri" w:cs="Calibri"/>
                <w:bCs/>
              </w:rPr>
            </w:pPr>
          </w:p>
        </w:tc>
      </w:tr>
      <w:tr w:rsidR="00F352C9" w:rsidRPr="006E3AF2" w14:paraId="376213DA" w14:textId="77777777" w:rsidTr="00517DB2">
        <w:tc>
          <w:tcPr>
            <w:tcW w:w="1111" w:type="pct"/>
            <w:vAlign w:val="center"/>
          </w:tcPr>
          <w:p w14:paraId="33B2C632" w14:textId="77777777" w:rsidR="00F352C9" w:rsidRDefault="00F352C9" w:rsidP="00F352C9">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F352C9" w:rsidRDefault="00F352C9" w:rsidP="00F352C9">
            <w:r>
              <w:t>Must include to explain why this change is being made?</w:t>
            </w:r>
          </w:p>
        </w:tc>
        <w:tc>
          <w:tcPr>
            <w:tcW w:w="3889" w:type="pct"/>
            <w:gridSpan w:val="5"/>
          </w:tcPr>
          <w:p w14:paraId="599B22A7" w14:textId="7CC47A58" w:rsidR="00F352C9" w:rsidRPr="00323DD8" w:rsidRDefault="00F352C9" w:rsidP="00F352C9">
            <w:pPr>
              <w:rPr>
                <w:rFonts w:ascii="Calibri" w:hAnsi="Calibri" w:cs="Calibri"/>
                <w:bCs/>
              </w:rPr>
            </w:pPr>
            <w:bookmarkStart w:id="9" w:name="student_impact"/>
            <w:bookmarkEnd w:id="9"/>
            <w:r w:rsidRPr="00323DD8">
              <w:rPr>
                <w:rFonts w:ascii="Calibri" w:hAnsi="Calibri" w:cs="Calibri"/>
                <w:bCs/>
              </w:rPr>
              <w:t xml:space="preserve">POL 335 is one of a small number of </w:t>
            </w:r>
            <w:proofErr w:type="spellStart"/>
            <w:r w:rsidRPr="00323DD8">
              <w:rPr>
                <w:rFonts w:ascii="Calibri" w:hAnsi="Calibri" w:cs="Calibri"/>
                <w:bCs/>
              </w:rPr>
              <w:t>Poli</w:t>
            </w:r>
            <w:proofErr w:type="spellEnd"/>
            <w:r w:rsidRPr="00323DD8">
              <w:rPr>
                <w:rFonts w:ascii="Calibri" w:hAnsi="Calibri" w:cs="Calibri"/>
                <w:bCs/>
              </w:rPr>
              <w:t xml:space="preserve"> Sci courses that never transitioned to 4 credits. The inconsistency confuses students</w:t>
            </w:r>
            <w:r w:rsidR="006E520A">
              <w:rPr>
                <w:rFonts w:ascii="Calibri" w:hAnsi="Calibri" w:cs="Calibri"/>
                <w:bCs/>
              </w:rPr>
              <w:t>,</w:t>
            </w:r>
            <w:r w:rsidRPr="00323DD8">
              <w:rPr>
                <w:rFonts w:ascii="Calibri" w:hAnsi="Calibri" w:cs="Calibri"/>
                <w:bCs/>
              </w:rPr>
              <w:t xml:space="preserve"> and they tend to avoid from 3 credit courses.</w:t>
            </w:r>
          </w:p>
          <w:p w14:paraId="2F8D491F" w14:textId="77777777" w:rsidR="00F352C9" w:rsidRPr="00323DD8" w:rsidRDefault="00F352C9" w:rsidP="00F352C9">
            <w:pPr>
              <w:rPr>
                <w:rFonts w:ascii="Calibri" w:hAnsi="Calibri" w:cs="Calibri"/>
                <w:bCs/>
              </w:rPr>
            </w:pPr>
            <w:r w:rsidRPr="00323DD8">
              <w:rPr>
                <w:rFonts w:ascii="Calibri" w:hAnsi="Calibri" w:cs="Calibri"/>
                <w:bCs/>
              </w:rPr>
              <w:t xml:space="preserve">•The additional credit makes it easier for students to maintain a full-time course load with 3 courses. </w:t>
            </w:r>
          </w:p>
          <w:p w14:paraId="0194753B" w14:textId="5A3AE5AE" w:rsidR="00F352C9" w:rsidRPr="00323DD8" w:rsidRDefault="00F352C9" w:rsidP="00F352C9">
            <w:pPr>
              <w:tabs>
                <w:tab w:val="left" w:pos="4667"/>
              </w:tabs>
              <w:rPr>
                <w:rFonts w:ascii="Calibri" w:hAnsi="Calibri" w:cs="Calibri"/>
                <w:bCs/>
              </w:rPr>
            </w:pPr>
            <w:r w:rsidRPr="00323DD8">
              <w:rPr>
                <w:rFonts w:ascii="Calibri" w:hAnsi="Calibri" w:cs="Calibri"/>
                <w:bCs/>
              </w:rPr>
              <w:t xml:space="preserve">•Increased contact hours </w:t>
            </w:r>
            <w:proofErr w:type="gramStart"/>
            <w:r w:rsidRPr="00323DD8">
              <w:rPr>
                <w:rFonts w:ascii="Calibri" w:hAnsi="Calibri" w:cs="Calibri"/>
                <w:bCs/>
              </w:rPr>
              <w:t>allows</w:t>
            </w:r>
            <w:proofErr w:type="gramEnd"/>
            <w:r w:rsidRPr="00323DD8">
              <w:rPr>
                <w:rFonts w:ascii="Calibri" w:hAnsi="Calibri" w:cs="Calibri"/>
                <w:bCs/>
              </w:rPr>
              <w:t xml:space="preserve"> more in depth coverage and coverage of more topics.</w:t>
            </w:r>
          </w:p>
        </w:tc>
      </w:tr>
      <w:tr w:rsidR="00F352C9" w:rsidRPr="006E3AF2" w14:paraId="7D9FD828" w14:textId="77777777" w:rsidTr="00517DB2">
        <w:tc>
          <w:tcPr>
            <w:tcW w:w="1111" w:type="pct"/>
            <w:vAlign w:val="center"/>
          </w:tcPr>
          <w:p w14:paraId="06D8C9D5" w14:textId="4E51CBDA" w:rsidR="00F352C9" w:rsidRPr="00B649C4" w:rsidRDefault="00F352C9" w:rsidP="00F352C9">
            <w:r>
              <w:t xml:space="preserve">A.6.a.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071AFD85" w:rsidR="00F352C9" w:rsidRPr="00323DD8" w:rsidRDefault="008620DF" w:rsidP="00F352C9">
            <w:pPr>
              <w:rPr>
                <w:rFonts w:ascii="Calibri" w:hAnsi="Calibri" w:cs="Calibri"/>
                <w:bCs/>
              </w:rPr>
            </w:pPr>
            <w:bookmarkStart w:id="10" w:name="prog_impact"/>
            <w:bookmarkEnd w:id="10"/>
            <w:r w:rsidRPr="00323DD8">
              <w:rPr>
                <w:rFonts w:ascii="Calibri" w:hAnsi="Calibri" w:cs="Calibri"/>
                <w:bCs/>
              </w:rPr>
              <w:t>This course counts as a restricted elective in the Justice Studies major</w:t>
            </w:r>
            <w:r w:rsidR="00783D27">
              <w:rPr>
                <w:rFonts w:ascii="Calibri" w:hAnsi="Calibri" w:cs="Calibri"/>
                <w:bCs/>
              </w:rPr>
              <w:t xml:space="preserve"> and minor</w:t>
            </w:r>
            <w:r w:rsidRPr="00323DD8">
              <w:rPr>
                <w:rFonts w:ascii="Calibri" w:hAnsi="Calibri" w:cs="Calibri"/>
                <w:bCs/>
              </w:rPr>
              <w:t>.</w:t>
            </w:r>
            <w:r w:rsidR="00953318">
              <w:rPr>
                <w:rFonts w:ascii="Calibri" w:hAnsi="Calibri" w:cs="Calibri"/>
                <w:bCs/>
              </w:rPr>
              <w:t xml:space="preserve"> Adds 1 credit to </w:t>
            </w:r>
            <w:r w:rsidR="00F33C92">
              <w:rPr>
                <w:rFonts w:ascii="Calibri" w:hAnsi="Calibri" w:cs="Calibri"/>
                <w:bCs/>
              </w:rPr>
              <w:t xml:space="preserve">the lower possible total credits of </w:t>
            </w:r>
            <w:r w:rsidR="00953318">
              <w:rPr>
                <w:rFonts w:ascii="Calibri" w:hAnsi="Calibri" w:cs="Calibri"/>
                <w:bCs/>
              </w:rPr>
              <w:t>that major</w:t>
            </w:r>
            <w:r w:rsidR="00783D27">
              <w:rPr>
                <w:rFonts w:ascii="Calibri" w:hAnsi="Calibri" w:cs="Calibri"/>
                <w:bCs/>
              </w:rPr>
              <w:t xml:space="preserve"> or minor</w:t>
            </w:r>
            <w:r w:rsidR="00953318">
              <w:rPr>
                <w:rFonts w:ascii="Calibri" w:hAnsi="Calibri" w:cs="Calibri"/>
                <w:bCs/>
              </w:rPr>
              <w:t xml:space="preserve"> for students who choose this course</w:t>
            </w:r>
            <w:r w:rsidR="00F33C92">
              <w:rPr>
                <w:rFonts w:ascii="Calibri" w:hAnsi="Calibri" w:cs="Calibri"/>
                <w:bCs/>
              </w:rPr>
              <w:t>, and they will need to update this change on their Rhode Map.</w:t>
            </w:r>
          </w:p>
        </w:tc>
      </w:tr>
      <w:tr w:rsidR="00F352C9" w:rsidRPr="006E3AF2" w14:paraId="38118792" w14:textId="77777777" w:rsidTr="00517DB2">
        <w:tc>
          <w:tcPr>
            <w:tcW w:w="1111" w:type="pct"/>
            <w:vAlign w:val="center"/>
          </w:tcPr>
          <w:p w14:paraId="5701FF94" w14:textId="285C4CE8" w:rsidR="00F352C9" w:rsidRDefault="00F352C9" w:rsidP="00F352C9">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377B3F18" w:rsidR="00F352C9" w:rsidRPr="00323DD8" w:rsidRDefault="008620DF" w:rsidP="00F352C9">
            <w:pPr>
              <w:rPr>
                <w:rFonts w:ascii="Calibri" w:hAnsi="Calibri" w:cs="Calibri"/>
                <w:bCs/>
              </w:rPr>
            </w:pPr>
            <w:r w:rsidRPr="00323DD8">
              <w:rPr>
                <w:rFonts w:ascii="Calibri" w:hAnsi="Calibri" w:cs="Calibri"/>
                <w:bCs/>
              </w:rPr>
              <w:t>None</w:t>
            </w:r>
            <w:r w:rsidR="00375CE1" w:rsidRPr="00323DD8">
              <w:rPr>
                <w:rFonts w:ascii="Calibri" w:hAnsi="Calibri" w:cs="Calibri"/>
                <w:bCs/>
              </w:rPr>
              <w:t>- This course is not in any transfer agreement</w:t>
            </w:r>
          </w:p>
        </w:tc>
      </w:tr>
      <w:tr w:rsidR="00F352C9" w:rsidRPr="00C25F9D" w14:paraId="45F9633F" w14:textId="77777777" w:rsidTr="008D52B7">
        <w:trPr>
          <w:cantSplit/>
        </w:trPr>
        <w:tc>
          <w:tcPr>
            <w:tcW w:w="1111" w:type="pct"/>
            <w:vMerge w:val="restart"/>
            <w:vAlign w:val="center"/>
          </w:tcPr>
          <w:p w14:paraId="42B7BD53" w14:textId="77777777" w:rsidR="00F352C9" w:rsidRPr="00B649C4" w:rsidRDefault="00F352C9" w:rsidP="00F352C9">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F352C9" w:rsidRDefault="00D47FC3" w:rsidP="00F352C9">
            <w:hyperlink w:anchor="faculty" w:tooltip="Need to hire new full-time or part-time faculty? This is where you indicate if this proposal will be affecting FLH in your department/program." w:history="1">
              <w:r w:rsidR="00F352C9" w:rsidRPr="00905E67">
                <w:rPr>
                  <w:rStyle w:val="Hyperlink"/>
                  <w:i/>
                </w:rPr>
                <w:t>Faculty PT &amp; FT</w:t>
              </w:r>
            </w:hyperlink>
            <w:r w:rsidR="00F352C9">
              <w:t xml:space="preserve">: </w:t>
            </w:r>
          </w:p>
        </w:tc>
        <w:tc>
          <w:tcPr>
            <w:tcW w:w="0" w:type="auto"/>
            <w:gridSpan w:val="4"/>
          </w:tcPr>
          <w:p w14:paraId="41C537C5" w14:textId="3E89734F" w:rsidR="00F352C9" w:rsidRPr="000834B1" w:rsidRDefault="008620DF" w:rsidP="008620DF">
            <w:pPr>
              <w:rPr>
                <w:rFonts w:ascii="Calibri" w:hAnsi="Calibri" w:cs="Calibri"/>
                <w:bCs/>
              </w:rPr>
            </w:pPr>
            <w:r w:rsidRPr="000834B1">
              <w:rPr>
                <w:rFonts w:ascii="Calibri" w:hAnsi="Calibri" w:cs="Calibri"/>
                <w:bCs/>
              </w:rPr>
              <w:t>One additional load hour for the instructor.</w:t>
            </w:r>
          </w:p>
        </w:tc>
      </w:tr>
      <w:tr w:rsidR="00F352C9" w:rsidRPr="00C25F9D" w14:paraId="636A3B25" w14:textId="77777777" w:rsidTr="008D52B7">
        <w:trPr>
          <w:cantSplit/>
        </w:trPr>
        <w:tc>
          <w:tcPr>
            <w:tcW w:w="1111" w:type="pct"/>
            <w:vMerge/>
            <w:vAlign w:val="center"/>
          </w:tcPr>
          <w:p w14:paraId="0B614A32" w14:textId="77777777" w:rsidR="00F352C9" w:rsidRPr="00B649C4" w:rsidRDefault="00F352C9" w:rsidP="00F352C9"/>
        </w:tc>
        <w:tc>
          <w:tcPr>
            <w:tcW w:w="1160" w:type="pct"/>
          </w:tcPr>
          <w:p w14:paraId="2E681FA1" w14:textId="77777777" w:rsidR="00F352C9" w:rsidRPr="000E2CBA" w:rsidRDefault="00D47FC3" w:rsidP="00F352C9">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352C9" w:rsidRPr="004313E6">
                <w:rPr>
                  <w:rStyle w:val="Hyperlink"/>
                  <w:i/>
                </w:rPr>
                <w:t>Library</w:t>
              </w:r>
              <w:r w:rsidR="00F352C9" w:rsidRPr="004313E6">
                <w:rPr>
                  <w:rStyle w:val="Hyperlink"/>
                </w:rPr>
                <w:t>:</w:t>
              </w:r>
            </w:hyperlink>
          </w:p>
        </w:tc>
        <w:tc>
          <w:tcPr>
            <w:tcW w:w="0" w:type="auto"/>
            <w:gridSpan w:val="4"/>
          </w:tcPr>
          <w:p w14:paraId="6B92378E" w14:textId="3426C108" w:rsidR="00F352C9" w:rsidRPr="000834B1" w:rsidRDefault="008620DF" w:rsidP="00F352C9">
            <w:pPr>
              <w:rPr>
                <w:rFonts w:ascii="Calibri" w:hAnsi="Calibri" w:cs="Calibri"/>
                <w:bCs/>
              </w:rPr>
            </w:pPr>
            <w:r w:rsidRPr="000834B1">
              <w:rPr>
                <w:rFonts w:ascii="Calibri" w:hAnsi="Calibri" w:cs="Calibri"/>
                <w:bCs/>
              </w:rPr>
              <w:t>None</w:t>
            </w:r>
          </w:p>
        </w:tc>
      </w:tr>
      <w:tr w:rsidR="00F352C9" w:rsidRPr="00C25F9D" w14:paraId="186A9C2E" w14:textId="77777777" w:rsidTr="008D52B7">
        <w:trPr>
          <w:cantSplit/>
        </w:trPr>
        <w:tc>
          <w:tcPr>
            <w:tcW w:w="1111" w:type="pct"/>
            <w:vMerge/>
            <w:vAlign w:val="center"/>
          </w:tcPr>
          <w:p w14:paraId="7D6BDE51" w14:textId="77777777" w:rsidR="00F352C9" w:rsidRPr="00B649C4" w:rsidRDefault="00F352C9" w:rsidP="00F352C9"/>
        </w:tc>
        <w:tc>
          <w:tcPr>
            <w:tcW w:w="1160" w:type="pct"/>
          </w:tcPr>
          <w:p w14:paraId="2E3CCE80" w14:textId="77777777" w:rsidR="00F352C9" w:rsidRPr="00704CFF" w:rsidRDefault="00D47FC3" w:rsidP="00F352C9">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352C9" w:rsidRPr="00A87611">
                <w:rPr>
                  <w:rStyle w:val="Hyperlink"/>
                  <w:i/>
                </w:rPr>
                <w:t>Technology</w:t>
              </w:r>
            </w:hyperlink>
          </w:p>
        </w:tc>
        <w:tc>
          <w:tcPr>
            <w:tcW w:w="0" w:type="auto"/>
            <w:gridSpan w:val="4"/>
          </w:tcPr>
          <w:p w14:paraId="6DCACEC0" w14:textId="701782A6" w:rsidR="00F352C9" w:rsidRPr="000834B1" w:rsidRDefault="008620DF" w:rsidP="00F352C9">
            <w:pPr>
              <w:rPr>
                <w:rFonts w:ascii="Calibri" w:hAnsi="Calibri" w:cs="Calibri"/>
                <w:bCs/>
              </w:rPr>
            </w:pPr>
            <w:r w:rsidRPr="000834B1">
              <w:rPr>
                <w:rFonts w:ascii="Calibri" w:hAnsi="Calibri" w:cs="Calibri"/>
                <w:bCs/>
              </w:rPr>
              <w:t>None</w:t>
            </w:r>
          </w:p>
        </w:tc>
      </w:tr>
      <w:tr w:rsidR="00F352C9" w:rsidRPr="00C25F9D" w14:paraId="6717F369" w14:textId="77777777" w:rsidTr="008D52B7">
        <w:trPr>
          <w:cantSplit/>
        </w:trPr>
        <w:tc>
          <w:tcPr>
            <w:tcW w:w="1111" w:type="pct"/>
            <w:vMerge/>
            <w:vAlign w:val="center"/>
          </w:tcPr>
          <w:p w14:paraId="4CF65113" w14:textId="77777777" w:rsidR="00F352C9" w:rsidRPr="00B649C4" w:rsidRDefault="00F352C9" w:rsidP="00F352C9"/>
        </w:tc>
        <w:tc>
          <w:tcPr>
            <w:tcW w:w="1160" w:type="pct"/>
          </w:tcPr>
          <w:p w14:paraId="209120DE" w14:textId="77777777" w:rsidR="00F352C9" w:rsidRPr="000E2CBA" w:rsidRDefault="00D47FC3" w:rsidP="00F352C9">
            <w:pPr>
              <w:rPr>
                <w:i/>
              </w:rPr>
            </w:pPr>
            <w:hyperlink w:anchor="facilities" w:tooltip="Any special facilities needs? Out-of-pattern scheduling? Other?" w:history="1">
              <w:r w:rsidR="00F352C9" w:rsidRPr="00905E67">
                <w:rPr>
                  <w:rStyle w:val="Hyperlink"/>
                  <w:i/>
                </w:rPr>
                <w:t>Facilities</w:t>
              </w:r>
            </w:hyperlink>
            <w:r w:rsidR="00F352C9">
              <w:t>:</w:t>
            </w:r>
          </w:p>
        </w:tc>
        <w:tc>
          <w:tcPr>
            <w:tcW w:w="0" w:type="auto"/>
            <w:gridSpan w:val="4"/>
          </w:tcPr>
          <w:p w14:paraId="7AA6ABC1" w14:textId="7D49E0D7" w:rsidR="00F352C9" w:rsidRPr="000834B1" w:rsidRDefault="008620DF" w:rsidP="00F352C9">
            <w:pPr>
              <w:rPr>
                <w:rFonts w:ascii="Calibri" w:hAnsi="Calibri" w:cs="Calibri"/>
                <w:bCs/>
              </w:rPr>
            </w:pPr>
            <w:r w:rsidRPr="000834B1">
              <w:rPr>
                <w:rFonts w:ascii="Calibri" w:hAnsi="Calibri" w:cs="Calibri"/>
                <w:bCs/>
              </w:rPr>
              <w:t>None</w:t>
            </w:r>
          </w:p>
        </w:tc>
      </w:tr>
      <w:tr w:rsidR="00F352C9" w:rsidRPr="006E3AF2" w14:paraId="6C89A581" w14:textId="77777777">
        <w:trPr>
          <w:cantSplit/>
        </w:trPr>
        <w:tc>
          <w:tcPr>
            <w:tcW w:w="1111" w:type="pct"/>
            <w:vAlign w:val="center"/>
          </w:tcPr>
          <w:p w14:paraId="22E79A62" w14:textId="7C9B28A0" w:rsidR="00F352C9" w:rsidRPr="00B649C4" w:rsidRDefault="00F352C9" w:rsidP="00F352C9">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F7CD5B6" w:rsidR="00F352C9" w:rsidRPr="00AB15DD" w:rsidRDefault="00D356EB" w:rsidP="00D356EB">
            <w:pPr>
              <w:jc w:val="center"/>
              <w:rPr>
                <w:rFonts w:ascii="Calibri" w:hAnsi="Calibri" w:cs="Calibri"/>
                <w:b/>
              </w:rPr>
            </w:pPr>
            <w:bookmarkStart w:id="11" w:name="date_submitted"/>
            <w:bookmarkEnd w:id="11"/>
            <w:r w:rsidRPr="00AB15DD">
              <w:rPr>
                <w:rFonts w:ascii="Calibri" w:hAnsi="Calibri" w:cs="Calibri"/>
                <w:b/>
              </w:rPr>
              <w:t>Fall 2022</w:t>
            </w:r>
          </w:p>
        </w:tc>
        <w:tc>
          <w:tcPr>
            <w:tcW w:w="1373" w:type="pct"/>
            <w:gridSpan w:val="2"/>
          </w:tcPr>
          <w:p w14:paraId="5496F461" w14:textId="155AC705" w:rsidR="00F352C9" w:rsidRPr="00B605CE" w:rsidRDefault="00F352C9" w:rsidP="00F352C9">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F352C9" w:rsidRPr="00B605CE" w:rsidRDefault="00F352C9" w:rsidP="00F352C9">
            <w:pPr>
              <w:rPr>
                <w:b/>
              </w:rPr>
            </w:pPr>
            <w:bookmarkStart w:id="12" w:name="Semester_effective"/>
            <w:bookmarkEnd w:id="12"/>
          </w:p>
        </w:tc>
      </w:tr>
      <w:tr w:rsidR="00F352C9" w:rsidRPr="006E3AF2" w14:paraId="017D18C5" w14:textId="77777777">
        <w:trPr>
          <w:cantSplit/>
        </w:trPr>
        <w:tc>
          <w:tcPr>
            <w:tcW w:w="5000" w:type="pct"/>
            <w:gridSpan w:val="6"/>
            <w:vAlign w:val="center"/>
          </w:tcPr>
          <w:p w14:paraId="2F7047BE" w14:textId="2BDD27D6" w:rsidR="00F352C9" w:rsidRPr="00913143" w:rsidRDefault="00F352C9" w:rsidP="00F352C9">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F352C9" w:rsidRPr="006E3AF2" w14:paraId="3E169CC4" w14:textId="77777777">
        <w:trPr>
          <w:cantSplit/>
        </w:trPr>
        <w:tc>
          <w:tcPr>
            <w:tcW w:w="5000" w:type="pct"/>
            <w:gridSpan w:val="6"/>
            <w:vAlign w:val="center"/>
          </w:tcPr>
          <w:p w14:paraId="0FA4BDEB" w14:textId="417AC005" w:rsidR="00F352C9" w:rsidRPr="00CF0A1D" w:rsidRDefault="00F352C9" w:rsidP="00F352C9">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w:t>
            </w:r>
            <w:r w:rsidRPr="004D180F">
              <w:rPr>
                <w:b/>
                <w:sz w:val="20"/>
                <w:szCs w:val="20"/>
              </w:rPr>
              <w:t>to which your department does not have access</w:t>
            </w:r>
            <w:r>
              <w:rPr>
                <w:sz w:val="20"/>
                <w:szCs w:val="20"/>
              </w:rPr>
              <w:t>) if this proposal is approved, with an explanation as to what needs to be revised:</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38A22A6" w:rsidR="00F64260" w:rsidRPr="00D356EB" w:rsidRDefault="00572738" w:rsidP="001429AA">
            <w:pPr>
              <w:rPr>
                <w:rFonts w:asciiTheme="majorHAnsi" w:hAnsiTheme="majorHAnsi" w:cstheme="majorHAnsi"/>
                <w:bCs/>
              </w:rPr>
            </w:pPr>
            <w:bookmarkStart w:id="13" w:name="cours_title"/>
            <w:bookmarkEnd w:id="13"/>
            <w:r w:rsidRPr="00D356EB">
              <w:rPr>
                <w:rFonts w:asciiTheme="majorHAnsi" w:hAnsiTheme="majorHAnsi" w:cstheme="majorHAnsi"/>
                <w:bCs/>
              </w:rPr>
              <w:t>POL 335</w:t>
            </w:r>
          </w:p>
        </w:tc>
        <w:tc>
          <w:tcPr>
            <w:tcW w:w="3840" w:type="dxa"/>
            <w:noWrap/>
          </w:tcPr>
          <w:p w14:paraId="6540064C" w14:textId="55CD4525" w:rsidR="00F64260" w:rsidRPr="00D356EB" w:rsidRDefault="00572738" w:rsidP="001429AA">
            <w:pPr>
              <w:rPr>
                <w:rFonts w:asciiTheme="majorHAnsi" w:hAnsiTheme="majorHAnsi" w:cstheme="majorHAnsi"/>
                <w:bCs/>
              </w:rPr>
            </w:pPr>
            <w:r w:rsidRPr="00D356EB">
              <w:rPr>
                <w:rFonts w:asciiTheme="majorHAnsi" w:hAnsiTheme="majorHAnsi" w:cstheme="majorHAnsi"/>
                <w:bCs/>
              </w:rPr>
              <w:t>POL 33</w:t>
            </w:r>
            <w:r w:rsidR="00D86CC5">
              <w:rPr>
                <w:rFonts w:asciiTheme="majorHAnsi" w:hAnsiTheme="majorHAnsi" w:cstheme="majorHAnsi"/>
                <w:bCs/>
              </w:rPr>
              <w:t>0</w:t>
            </w:r>
          </w:p>
        </w:tc>
      </w:tr>
      <w:tr w:rsidR="00F64260" w:rsidRPr="006E3AF2" w14:paraId="203B0C45" w14:textId="77777777" w:rsidTr="005E2D3D">
        <w:tc>
          <w:tcPr>
            <w:tcW w:w="3100" w:type="dxa"/>
            <w:noWrap/>
            <w:vAlign w:val="center"/>
          </w:tcPr>
          <w:p w14:paraId="4BAC956E" w14:textId="77777777" w:rsidR="00F64260" w:rsidRPr="006E3AF2" w:rsidRDefault="00F64260" w:rsidP="00013152">
            <w:r>
              <w:t xml:space="preserve">B.2. </w:t>
            </w:r>
            <w:r w:rsidRPr="00A960DC">
              <w:rPr>
                <w:w w:val="95"/>
              </w:rPr>
              <w:t>Cross listing number if any</w:t>
            </w:r>
          </w:p>
        </w:tc>
        <w:tc>
          <w:tcPr>
            <w:tcW w:w="3840" w:type="dxa"/>
            <w:noWrap/>
          </w:tcPr>
          <w:p w14:paraId="36ED71B5" w14:textId="0293291D" w:rsidR="00F64260" w:rsidRPr="00D356EB" w:rsidRDefault="00C3000D" w:rsidP="001429AA">
            <w:pPr>
              <w:rPr>
                <w:rFonts w:asciiTheme="majorHAnsi" w:hAnsiTheme="majorHAnsi" w:cstheme="majorHAnsi"/>
                <w:bCs/>
              </w:rPr>
            </w:pPr>
            <w:r w:rsidRPr="00D356EB">
              <w:rPr>
                <w:rFonts w:asciiTheme="majorHAnsi" w:hAnsiTheme="majorHAnsi" w:cstheme="majorHAnsi"/>
                <w:bCs/>
              </w:rPr>
              <w:t>NONE</w:t>
            </w:r>
          </w:p>
        </w:tc>
        <w:tc>
          <w:tcPr>
            <w:tcW w:w="3840" w:type="dxa"/>
            <w:noWrap/>
          </w:tcPr>
          <w:p w14:paraId="4E2FF0F0" w14:textId="317C8C4B" w:rsidR="00F64260" w:rsidRPr="00D356EB" w:rsidRDefault="00F64260" w:rsidP="001429AA">
            <w:pPr>
              <w:rPr>
                <w:rFonts w:asciiTheme="majorHAnsi" w:hAnsiTheme="majorHAnsi" w:cstheme="majorHAnsi"/>
                <w:bCs/>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7BC5F06" w:rsidR="00F64260" w:rsidRPr="00D356EB" w:rsidRDefault="00C3000D" w:rsidP="001429AA">
            <w:pPr>
              <w:rPr>
                <w:rFonts w:asciiTheme="majorHAnsi" w:hAnsiTheme="majorHAnsi" w:cstheme="majorHAnsi"/>
                <w:bCs/>
              </w:rPr>
            </w:pPr>
            <w:r w:rsidRPr="00D356EB">
              <w:rPr>
                <w:rFonts w:asciiTheme="majorHAnsi" w:hAnsiTheme="majorHAnsi" w:cstheme="majorHAnsi"/>
                <w:bCs/>
              </w:rPr>
              <w:t>Jurisprudence and the American Judicial Process</w:t>
            </w:r>
          </w:p>
        </w:tc>
        <w:tc>
          <w:tcPr>
            <w:tcW w:w="3840" w:type="dxa"/>
            <w:noWrap/>
          </w:tcPr>
          <w:p w14:paraId="2B9DB727" w14:textId="1F7929C9" w:rsidR="00F64260" w:rsidRPr="00D356EB" w:rsidRDefault="00C3000D" w:rsidP="001429AA">
            <w:pPr>
              <w:rPr>
                <w:rFonts w:asciiTheme="majorHAnsi" w:hAnsiTheme="majorHAnsi" w:cstheme="majorHAnsi"/>
                <w:bCs/>
              </w:rPr>
            </w:pPr>
            <w:r w:rsidRPr="00D356EB">
              <w:rPr>
                <w:rFonts w:asciiTheme="majorHAnsi" w:hAnsiTheme="majorHAnsi" w:cstheme="majorHAnsi"/>
                <w:bCs/>
              </w:rPr>
              <w:t>Jurisprudence and the American Judicial Process</w:t>
            </w:r>
          </w:p>
        </w:tc>
      </w:tr>
      <w:tr w:rsidR="00F64260" w:rsidRPr="006E3AF2" w14:paraId="76E4D772" w14:textId="77777777" w:rsidTr="005E2D3D">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285B6A9" w14:textId="77777777" w:rsidR="00C3000D" w:rsidRPr="00B26076" w:rsidRDefault="00C3000D" w:rsidP="00C3000D">
            <w:pPr>
              <w:rPr>
                <w:rFonts w:asciiTheme="majorHAnsi" w:hAnsiTheme="majorHAnsi" w:cstheme="majorHAnsi"/>
              </w:rPr>
            </w:pPr>
            <w:bookmarkStart w:id="14" w:name="description"/>
            <w:bookmarkEnd w:id="14"/>
            <w:r w:rsidRPr="00B26076">
              <w:rPr>
                <w:rFonts w:asciiTheme="majorHAnsi" w:hAnsiTheme="majorHAnsi" w:cstheme="majorHAnsi"/>
                <w:color w:val="000000"/>
              </w:rPr>
              <w:t>The nature of law is examined through the analysis of selected theories of jurisprudence. Attention is given to judicial organization and process, judicial administration and politics, and judicial behavior at both the state and national levels.</w:t>
            </w:r>
          </w:p>
          <w:p w14:paraId="7D376918" w14:textId="77777777" w:rsidR="00F64260" w:rsidRPr="00B26076" w:rsidRDefault="00F64260" w:rsidP="009F029C">
            <w:pPr>
              <w:tabs>
                <w:tab w:val="left" w:pos="690"/>
              </w:tabs>
              <w:rPr>
                <w:rFonts w:asciiTheme="majorHAnsi" w:hAnsiTheme="majorHAnsi" w:cstheme="majorHAnsi"/>
                <w:b/>
              </w:rPr>
            </w:pPr>
          </w:p>
        </w:tc>
        <w:tc>
          <w:tcPr>
            <w:tcW w:w="3840" w:type="dxa"/>
            <w:noWrap/>
          </w:tcPr>
          <w:p w14:paraId="156564C7" w14:textId="4C47D38C" w:rsidR="00C3000D" w:rsidRPr="00B26076" w:rsidRDefault="007D3BD4" w:rsidP="00C3000D">
            <w:pPr>
              <w:rPr>
                <w:rFonts w:asciiTheme="majorHAnsi" w:hAnsiTheme="majorHAnsi" w:cstheme="majorHAnsi"/>
              </w:rPr>
            </w:pPr>
            <w:r>
              <w:rPr>
                <w:rFonts w:asciiTheme="majorHAnsi" w:hAnsiTheme="majorHAnsi" w:cstheme="majorHAnsi"/>
                <w:color w:val="000000"/>
              </w:rPr>
              <w:t>Students</w:t>
            </w:r>
            <w:r w:rsidR="00C3000D" w:rsidRPr="00B26076">
              <w:rPr>
                <w:rFonts w:asciiTheme="majorHAnsi" w:hAnsiTheme="majorHAnsi" w:cstheme="majorHAnsi"/>
                <w:color w:val="000000"/>
              </w:rPr>
              <w:t xml:space="preserve"> examine</w:t>
            </w:r>
            <w:r w:rsidR="007F0000">
              <w:rPr>
                <w:rFonts w:asciiTheme="majorHAnsi" w:hAnsiTheme="majorHAnsi" w:cstheme="majorHAnsi"/>
                <w:color w:val="000000"/>
              </w:rPr>
              <w:t xml:space="preserve"> </w:t>
            </w:r>
            <w:r>
              <w:rPr>
                <w:rFonts w:asciiTheme="majorHAnsi" w:hAnsiTheme="majorHAnsi" w:cstheme="majorHAnsi"/>
                <w:color w:val="000000"/>
              </w:rPr>
              <w:t>and compare theories of law</w:t>
            </w:r>
            <w:r w:rsidR="006E520A">
              <w:rPr>
                <w:rFonts w:asciiTheme="majorHAnsi" w:hAnsiTheme="majorHAnsi" w:cstheme="majorHAnsi"/>
                <w:color w:val="000000"/>
              </w:rPr>
              <w:t xml:space="preserve"> and legal reasoning, </w:t>
            </w:r>
            <w:r w:rsidR="00BE43D7">
              <w:rPr>
                <w:rFonts w:asciiTheme="majorHAnsi" w:hAnsiTheme="majorHAnsi" w:cstheme="majorHAnsi"/>
                <w:color w:val="000000"/>
              </w:rPr>
              <w:t xml:space="preserve">focusing on </w:t>
            </w:r>
            <w:r w:rsidR="007F0000">
              <w:rPr>
                <w:rFonts w:asciiTheme="majorHAnsi" w:hAnsiTheme="majorHAnsi" w:cstheme="majorHAnsi"/>
                <w:color w:val="000000"/>
              </w:rPr>
              <w:t>how judges determine what the law is</w:t>
            </w:r>
            <w:r w:rsidR="00BE43D7">
              <w:rPr>
                <w:rFonts w:asciiTheme="majorHAnsi" w:hAnsiTheme="majorHAnsi" w:cstheme="majorHAnsi"/>
                <w:color w:val="000000"/>
              </w:rPr>
              <w:t xml:space="preserve"> and </w:t>
            </w:r>
            <w:r w:rsidR="007F0000">
              <w:rPr>
                <w:rFonts w:asciiTheme="majorHAnsi" w:hAnsiTheme="majorHAnsi" w:cstheme="majorHAnsi"/>
                <w:color w:val="000000"/>
              </w:rPr>
              <w:t>apply it to decide cases</w:t>
            </w:r>
            <w:r w:rsidR="006E520A">
              <w:rPr>
                <w:rFonts w:asciiTheme="majorHAnsi" w:hAnsiTheme="majorHAnsi" w:cstheme="majorHAnsi"/>
                <w:color w:val="000000"/>
              </w:rPr>
              <w:t xml:space="preserve"> across different areas of law</w:t>
            </w:r>
            <w:r w:rsidR="001C14FC">
              <w:rPr>
                <w:rFonts w:asciiTheme="majorHAnsi" w:hAnsiTheme="majorHAnsi" w:cstheme="majorHAnsi"/>
                <w:color w:val="000000"/>
              </w:rPr>
              <w:t xml:space="preserve">. </w:t>
            </w:r>
          </w:p>
          <w:p w14:paraId="51C7BE85" w14:textId="77777777" w:rsidR="00F64260" w:rsidRPr="00B26076" w:rsidRDefault="00F64260" w:rsidP="001429AA">
            <w:pPr>
              <w:rPr>
                <w:rFonts w:asciiTheme="majorHAnsi" w:hAnsiTheme="majorHAnsi" w:cstheme="majorHAnsi"/>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C6B0572" w:rsidR="00F64260" w:rsidRPr="00B26076" w:rsidRDefault="00C3000D" w:rsidP="001429AA">
            <w:pPr>
              <w:rPr>
                <w:rFonts w:asciiTheme="majorHAnsi" w:hAnsiTheme="majorHAnsi" w:cstheme="majorHAnsi"/>
              </w:rPr>
            </w:pPr>
            <w:bookmarkStart w:id="15" w:name="prereqs"/>
            <w:bookmarkEnd w:id="15"/>
            <w:r w:rsidRPr="00B26076">
              <w:rPr>
                <w:rFonts w:asciiTheme="majorHAnsi" w:hAnsiTheme="majorHAnsi" w:cstheme="majorHAnsi"/>
                <w:color w:val="000000"/>
              </w:rPr>
              <w:t>One 200-level political science course or consent of department chair.</w:t>
            </w:r>
          </w:p>
        </w:tc>
        <w:tc>
          <w:tcPr>
            <w:tcW w:w="3840" w:type="dxa"/>
            <w:noWrap/>
          </w:tcPr>
          <w:p w14:paraId="4DA91B44" w14:textId="5FFCB2FA" w:rsidR="00F64260" w:rsidRPr="00B26076" w:rsidRDefault="00C3000D" w:rsidP="001429AA">
            <w:pPr>
              <w:rPr>
                <w:rFonts w:asciiTheme="majorHAnsi" w:hAnsiTheme="majorHAnsi" w:cstheme="majorHAnsi"/>
              </w:rPr>
            </w:pPr>
            <w:r w:rsidRPr="00B26076">
              <w:rPr>
                <w:rFonts w:asciiTheme="majorHAnsi" w:hAnsiTheme="majorHAnsi" w:cstheme="majorHAnsi"/>
                <w:color w:val="000000"/>
              </w:rPr>
              <w:t>One 200-level political science course or consent of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0BCE472" w:rsidR="00F64260" w:rsidRPr="00B26076" w:rsidRDefault="00D47FC3" w:rsidP="000A36CD">
            <w:pPr>
              <w:rPr>
                <w:rFonts w:ascii="Calibri" w:hAnsi="Calibri" w:cs="Calibri"/>
              </w:rPr>
            </w:pPr>
            <w:hyperlink w:anchor="As_needed" w:tooltip="Use sparingly; it is better for students to have some idea of when a course will be offered even if it is only every other year" w:history="1">
              <w:r w:rsidR="00F64260" w:rsidRPr="00B26076">
                <w:rPr>
                  <w:rStyle w:val="Hyperlink"/>
                  <w:rFonts w:ascii="Calibri" w:hAnsi="Calibri" w:cs="Calibri"/>
                </w:rPr>
                <w:t>As needed</w:t>
              </w:r>
            </w:hyperlink>
          </w:p>
        </w:tc>
        <w:tc>
          <w:tcPr>
            <w:tcW w:w="3840" w:type="dxa"/>
            <w:noWrap/>
          </w:tcPr>
          <w:p w14:paraId="67D1137F" w14:textId="5994B0F8" w:rsidR="00F64260" w:rsidRPr="00B26076" w:rsidRDefault="00F64260" w:rsidP="00C25F9D">
            <w:pPr>
              <w:rPr>
                <w:rFonts w:ascii="Calibri" w:hAnsi="Calibri" w:cs="Calibri"/>
              </w:rPr>
            </w:pPr>
            <w:r w:rsidRPr="00B26076">
              <w:rPr>
                <w:rFonts w:ascii="Calibri" w:hAnsi="Calibri" w:cs="Calibri"/>
              </w:rPr>
              <w:t>As needed.</w:t>
            </w:r>
          </w:p>
        </w:tc>
      </w:tr>
      <w:tr w:rsidR="00F64260" w:rsidRPr="006E3AF2" w14:paraId="12464B8B" w14:textId="77777777" w:rsidTr="005E2D3D">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385605D7" w:rsidR="00F64260" w:rsidRPr="00B26076" w:rsidRDefault="00C3000D" w:rsidP="001429AA">
            <w:pPr>
              <w:rPr>
                <w:rFonts w:ascii="Calibri" w:hAnsi="Calibri" w:cs="Calibri"/>
              </w:rPr>
            </w:pPr>
            <w:bookmarkStart w:id="16" w:name="contacthours"/>
            <w:bookmarkEnd w:id="16"/>
            <w:r w:rsidRPr="00B26076">
              <w:rPr>
                <w:rFonts w:ascii="Calibri" w:hAnsi="Calibri" w:cs="Calibri"/>
              </w:rPr>
              <w:t>3</w:t>
            </w:r>
          </w:p>
        </w:tc>
        <w:tc>
          <w:tcPr>
            <w:tcW w:w="3840" w:type="dxa"/>
            <w:noWrap/>
          </w:tcPr>
          <w:p w14:paraId="57D144B9" w14:textId="572AEA96" w:rsidR="00F64260" w:rsidRPr="00B26076" w:rsidRDefault="00C3000D" w:rsidP="001429AA">
            <w:pPr>
              <w:rPr>
                <w:rFonts w:ascii="Calibri" w:hAnsi="Calibri" w:cs="Calibri"/>
              </w:rPr>
            </w:pPr>
            <w:r w:rsidRPr="00B26076">
              <w:rPr>
                <w:rFonts w:ascii="Calibri" w:hAnsi="Calibri" w:cs="Calibri"/>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4766266" w:rsidR="00F64260" w:rsidRPr="00B26076" w:rsidRDefault="00C3000D" w:rsidP="001429AA">
            <w:pPr>
              <w:rPr>
                <w:rFonts w:ascii="Calibri" w:hAnsi="Calibri" w:cs="Calibri"/>
              </w:rPr>
            </w:pPr>
            <w:bookmarkStart w:id="17" w:name="credits"/>
            <w:bookmarkEnd w:id="17"/>
            <w:r w:rsidRPr="00B26076">
              <w:rPr>
                <w:rFonts w:ascii="Calibri" w:hAnsi="Calibri" w:cs="Calibri"/>
              </w:rPr>
              <w:t>3</w:t>
            </w:r>
          </w:p>
        </w:tc>
        <w:tc>
          <w:tcPr>
            <w:tcW w:w="3840" w:type="dxa"/>
            <w:noWrap/>
          </w:tcPr>
          <w:p w14:paraId="7DD4CAFF" w14:textId="6CA997BA" w:rsidR="00F64260" w:rsidRPr="00B26076" w:rsidRDefault="00C3000D" w:rsidP="001429AA">
            <w:pPr>
              <w:rPr>
                <w:rFonts w:ascii="Calibri" w:hAnsi="Calibri" w:cs="Calibri"/>
              </w:rPr>
            </w:pPr>
            <w:r w:rsidRPr="00B26076">
              <w:rPr>
                <w:rFonts w:ascii="Calibri" w:hAnsi="Calibri" w:cs="Calibri"/>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2C8CC112" w:rsidR="00F64260" w:rsidRPr="00B26076" w:rsidRDefault="00F64260" w:rsidP="001429AA">
            <w:pPr>
              <w:rPr>
                <w:rStyle w:val="TEXT"/>
                <w:rFonts w:cs="Calibri"/>
                <w:b w:val="0"/>
              </w:rPr>
            </w:pPr>
            <w:bookmarkStart w:id="18" w:name="differences"/>
            <w:bookmarkEnd w:id="18"/>
          </w:p>
        </w:tc>
      </w:tr>
      <w:tr w:rsidR="00F64260" w:rsidRPr="006E3AF2" w14:paraId="1E5DCF31" w14:textId="77777777" w:rsidTr="005E2D3D">
        <w:tc>
          <w:tcPr>
            <w:tcW w:w="3100" w:type="dxa"/>
            <w:noWrap/>
            <w:vAlign w:val="center"/>
          </w:tcPr>
          <w:p w14:paraId="519B79E7" w14:textId="487BC74C" w:rsidR="00F64260" w:rsidRPr="006E3AF2" w:rsidRDefault="004313E6" w:rsidP="00013152">
            <w:r>
              <w:t>B.10</w:t>
            </w:r>
            <w:r w:rsidR="00F64260">
              <w:t xml:space="preserve">. </w:t>
            </w:r>
            <w:hyperlink w:anchor="grading" w:tooltip="Select one, and delete the others. Letter grades affect GPA the others do not, but if passed will give academic credit. CR/NCR is used for courses numbered 000-009." w:history="1">
              <w:r w:rsidR="00F64260" w:rsidRPr="0071544D">
                <w:rPr>
                  <w:rStyle w:val="Hyperlink"/>
                </w:rPr>
                <w:t>Grading system</w:t>
              </w:r>
            </w:hyperlink>
            <w:r w:rsidR="00F64260" w:rsidRPr="006E3AF2">
              <w:t xml:space="preserve"> </w:t>
            </w:r>
          </w:p>
        </w:tc>
        <w:tc>
          <w:tcPr>
            <w:tcW w:w="3840" w:type="dxa"/>
            <w:noWrap/>
          </w:tcPr>
          <w:p w14:paraId="54A0840F" w14:textId="793520F0" w:rsidR="00F64260" w:rsidRPr="00B26076" w:rsidRDefault="00F64260" w:rsidP="001429AA">
            <w:pPr>
              <w:rPr>
                <w:rFonts w:ascii="Calibri" w:hAnsi="Calibri" w:cs="Calibri"/>
              </w:rPr>
            </w:pPr>
            <w:r w:rsidRPr="00B26076">
              <w:rPr>
                <w:rFonts w:ascii="Calibri" w:hAnsi="Calibri" w:cs="Calibri"/>
              </w:rPr>
              <w:t xml:space="preserve">Letter grade  </w:t>
            </w:r>
          </w:p>
        </w:tc>
        <w:tc>
          <w:tcPr>
            <w:tcW w:w="3840" w:type="dxa"/>
            <w:noWrap/>
          </w:tcPr>
          <w:p w14:paraId="2CF717EE" w14:textId="063D98F8" w:rsidR="00F64260" w:rsidRPr="00B26076" w:rsidRDefault="00581C78" w:rsidP="00C25F9D">
            <w:pPr>
              <w:rPr>
                <w:rFonts w:ascii="Calibri" w:hAnsi="Calibri" w:cs="Calibri"/>
              </w:rPr>
            </w:pPr>
            <w:r w:rsidRPr="00B26076">
              <w:rPr>
                <w:rFonts w:ascii="Calibri" w:hAnsi="Calibri" w:cs="Calibri"/>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AC21A7B" w:rsidR="00F64260" w:rsidRPr="00B26076" w:rsidRDefault="00F64260" w:rsidP="006B20A9">
            <w:pPr>
              <w:rPr>
                <w:rFonts w:ascii="Calibri" w:hAnsi="Calibri" w:cs="Calibri"/>
              </w:rPr>
            </w:pPr>
            <w:bookmarkStart w:id="19" w:name="instr_methods"/>
            <w:bookmarkEnd w:id="19"/>
            <w:r w:rsidRPr="00B26076">
              <w:rPr>
                <w:rFonts w:ascii="Calibri" w:hAnsi="Calibri" w:cs="Calibri"/>
              </w:rPr>
              <w:t xml:space="preserve">Lecture </w:t>
            </w:r>
          </w:p>
        </w:tc>
        <w:tc>
          <w:tcPr>
            <w:tcW w:w="3840" w:type="dxa"/>
            <w:noWrap/>
          </w:tcPr>
          <w:p w14:paraId="27D66483" w14:textId="037DA5D3" w:rsidR="00F64260" w:rsidRPr="00B26076" w:rsidRDefault="000C1152" w:rsidP="00795D54">
            <w:pPr>
              <w:rPr>
                <w:rFonts w:ascii="Calibri" w:hAnsi="Calibri" w:cs="Calibri"/>
              </w:rPr>
            </w:pPr>
            <w:r w:rsidRPr="00B26076">
              <w:rPr>
                <w:rFonts w:ascii="Calibri" w:hAnsi="Calibri" w:cs="Calibri"/>
              </w:rPr>
              <w:t>Lecture</w:t>
            </w:r>
          </w:p>
        </w:tc>
      </w:tr>
      <w:tr w:rsidR="005E2D3D" w:rsidRPr="006E3AF2" w14:paraId="44DD924E" w14:textId="77777777" w:rsidTr="005E2D3D">
        <w:tc>
          <w:tcPr>
            <w:tcW w:w="3100" w:type="dxa"/>
            <w:noWrap/>
            <w:vAlign w:val="center"/>
          </w:tcPr>
          <w:p w14:paraId="0DDBE555" w14:textId="77777777" w:rsidR="005E2D3D" w:rsidRDefault="005E2D3D" w:rsidP="000E4E94">
            <w:r>
              <w:t xml:space="preserve">B.11.a  </w:t>
            </w:r>
            <w:hyperlink w:anchor="instr_methods" w:tooltip="Must be included " w:history="1">
              <w:r w:rsidRPr="005E2D3D">
                <w:rPr>
                  <w:rStyle w:val="Hyperlink"/>
                </w:rPr>
                <w:t>Delivery Method</w:t>
              </w:r>
            </w:hyperlink>
          </w:p>
        </w:tc>
        <w:tc>
          <w:tcPr>
            <w:tcW w:w="3840" w:type="dxa"/>
            <w:noWrap/>
          </w:tcPr>
          <w:p w14:paraId="1696E0CF" w14:textId="0F29B5A5" w:rsidR="000C1152" w:rsidRPr="00B26076" w:rsidRDefault="005E2D3D" w:rsidP="000C1152">
            <w:pPr>
              <w:rPr>
                <w:rFonts w:ascii="Calibri" w:hAnsi="Calibri" w:cs="Calibri"/>
              </w:rPr>
            </w:pPr>
            <w:r w:rsidRPr="00B26076">
              <w:rPr>
                <w:rFonts w:ascii="Calibri" w:hAnsi="Calibri" w:cs="Calibri"/>
              </w:rPr>
              <w:t xml:space="preserve">On campus </w:t>
            </w:r>
          </w:p>
          <w:p w14:paraId="4DA1BDE3" w14:textId="064F5125" w:rsidR="005E2D3D" w:rsidRPr="00B26076" w:rsidRDefault="005E2D3D" w:rsidP="005E2D3D">
            <w:pPr>
              <w:rPr>
                <w:rFonts w:ascii="Calibri" w:hAnsi="Calibri" w:cs="Calibri"/>
              </w:rPr>
            </w:pPr>
          </w:p>
        </w:tc>
        <w:tc>
          <w:tcPr>
            <w:tcW w:w="3840" w:type="dxa"/>
            <w:noWrap/>
          </w:tcPr>
          <w:p w14:paraId="50FE8A9A" w14:textId="021B2EBD" w:rsidR="000C1152" w:rsidRPr="00B26076" w:rsidRDefault="005E2D3D" w:rsidP="000C1152">
            <w:pPr>
              <w:rPr>
                <w:rFonts w:ascii="Calibri" w:hAnsi="Calibri" w:cs="Calibri"/>
              </w:rPr>
            </w:pPr>
            <w:r w:rsidRPr="00B26076">
              <w:rPr>
                <w:rFonts w:ascii="Calibri" w:hAnsi="Calibri" w:cs="Calibri"/>
              </w:rPr>
              <w:t xml:space="preserve">On campus </w:t>
            </w:r>
          </w:p>
          <w:p w14:paraId="50180751" w14:textId="4E2A360F" w:rsidR="005E2D3D" w:rsidRPr="00B26076" w:rsidRDefault="005E2D3D" w:rsidP="000E4E94">
            <w:pPr>
              <w:rPr>
                <w:rFonts w:ascii="Calibri" w:hAnsi="Calibri" w:cs="Calibri"/>
              </w:rPr>
            </w:pPr>
          </w:p>
        </w:tc>
      </w:tr>
      <w:tr w:rsidR="00F64260" w:rsidRPr="006E3AF2" w14:paraId="40E0E48F" w14:textId="77777777" w:rsidTr="005E2D3D">
        <w:tc>
          <w:tcPr>
            <w:tcW w:w="3100" w:type="dxa"/>
            <w:noWrap/>
            <w:vAlign w:val="center"/>
          </w:tcPr>
          <w:p w14:paraId="75167C81" w14:textId="1534D889" w:rsidR="00CF0A1D" w:rsidRDefault="004313E6" w:rsidP="00013152">
            <w:r>
              <w:t>B.12</w:t>
            </w:r>
            <w:r w:rsidR="00F64260">
              <w:t>.</w:t>
            </w:r>
            <w:r w:rsidR="00CF0A1D">
              <w:t xml:space="preserve">  CATEGORIES</w:t>
            </w:r>
          </w:p>
          <w:p w14:paraId="6FB6EA46" w14:textId="3187FB97" w:rsidR="00F64260" w:rsidRPr="006E3AF2" w:rsidRDefault="00CF0A1D" w:rsidP="00013152">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F009943" w:rsidR="00F64260" w:rsidRPr="00B26076" w:rsidRDefault="00F64260" w:rsidP="00A87611">
            <w:pPr>
              <w:rPr>
                <w:rFonts w:ascii="Calibri" w:hAnsi="Calibri" w:cs="Calibri"/>
              </w:rPr>
            </w:pPr>
            <w:bookmarkStart w:id="20" w:name="required"/>
            <w:bookmarkEnd w:id="20"/>
            <w:r w:rsidRPr="00B26076">
              <w:rPr>
                <w:rFonts w:ascii="Calibri" w:hAnsi="Calibri" w:cs="Calibri"/>
              </w:rPr>
              <w:t>Restricted elective for major/</w:t>
            </w:r>
            <w:proofErr w:type="gramStart"/>
            <w:r w:rsidRPr="00B26076">
              <w:rPr>
                <w:rFonts w:ascii="Calibri" w:hAnsi="Calibri" w:cs="Calibri"/>
              </w:rPr>
              <w:t xml:space="preserve">minor  </w:t>
            </w:r>
            <w:r w:rsidRPr="00B26076">
              <w:rPr>
                <w:rFonts w:ascii="Calibri" w:eastAsia="MS Mincho" w:hAnsi="Calibri" w:cs="Calibri"/>
              </w:rPr>
              <w:t>|</w:t>
            </w:r>
            <w:proofErr w:type="gramEnd"/>
            <w:r w:rsidRPr="00B26076">
              <w:rPr>
                <w:rFonts w:ascii="Calibri" w:eastAsia="MS Mincho" w:hAnsi="Calibri" w:cs="Calibri"/>
              </w:rPr>
              <w:t xml:space="preserve"> </w:t>
            </w:r>
            <w:r w:rsidRPr="00B26076">
              <w:rPr>
                <w:rFonts w:ascii="Calibri" w:hAnsi="Calibri" w:cs="Calibri"/>
              </w:rPr>
              <w:t xml:space="preserve">Free elective </w:t>
            </w:r>
          </w:p>
        </w:tc>
        <w:tc>
          <w:tcPr>
            <w:tcW w:w="3840" w:type="dxa"/>
            <w:noWrap/>
          </w:tcPr>
          <w:p w14:paraId="442E5788" w14:textId="2727690F" w:rsidR="00F64260" w:rsidRPr="00B26076" w:rsidRDefault="000C1152" w:rsidP="001A51ED">
            <w:pPr>
              <w:rPr>
                <w:rFonts w:ascii="Calibri" w:hAnsi="Calibri" w:cs="Calibri"/>
              </w:rPr>
            </w:pPr>
            <w:r w:rsidRPr="00B26076">
              <w:rPr>
                <w:rFonts w:ascii="Calibri" w:hAnsi="Calibri" w:cs="Calibri"/>
              </w:rPr>
              <w:t>Restricted elective for major/</w:t>
            </w:r>
            <w:proofErr w:type="gramStart"/>
            <w:r w:rsidRPr="00B26076">
              <w:rPr>
                <w:rFonts w:ascii="Calibri" w:hAnsi="Calibri" w:cs="Calibri"/>
              </w:rPr>
              <w:t xml:space="preserve">minor  </w:t>
            </w:r>
            <w:r w:rsidRPr="00B26076">
              <w:rPr>
                <w:rFonts w:ascii="Calibri" w:eastAsia="MS Mincho" w:hAnsi="Calibri" w:cs="Calibri"/>
              </w:rPr>
              <w:t>|</w:t>
            </w:r>
            <w:proofErr w:type="gramEnd"/>
            <w:r w:rsidRPr="00B26076">
              <w:rPr>
                <w:rFonts w:ascii="Calibri" w:eastAsia="MS Mincho" w:hAnsi="Calibri" w:cs="Calibri"/>
              </w:rPr>
              <w:t xml:space="preserve"> </w:t>
            </w:r>
            <w:r w:rsidRPr="00B26076">
              <w:rPr>
                <w:rFonts w:ascii="Calibri" w:hAnsi="Calibri" w:cs="Calibri"/>
              </w:rPr>
              <w:t>Free elective</w:t>
            </w:r>
          </w:p>
        </w:tc>
      </w:tr>
      <w:tr w:rsidR="00F64260" w:rsidRPr="006E3AF2" w14:paraId="4F77409C" w14:textId="77777777" w:rsidTr="005E2D3D">
        <w:tc>
          <w:tcPr>
            <w:tcW w:w="3100" w:type="dxa"/>
            <w:noWrap/>
            <w:vAlign w:val="center"/>
          </w:tcPr>
          <w:p w14:paraId="7F5AE404" w14:textId="48CB92C4" w:rsidR="00CF0A1D" w:rsidRDefault="00CF0A1D" w:rsidP="00013152">
            <w:r>
              <w:lastRenderedPageBreak/>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r>
              <w:t xml:space="preserve">        </w:t>
            </w:r>
            <w:r w:rsidR="00F64260" w:rsidRPr="006E3AF2">
              <w:t>course?</w:t>
            </w:r>
          </w:p>
        </w:tc>
        <w:tc>
          <w:tcPr>
            <w:tcW w:w="3840" w:type="dxa"/>
            <w:noWrap/>
          </w:tcPr>
          <w:p w14:paraId="1F134875" w14:textId="2DF62437" w:rsidR="00F64260" w:rsidRPr="00B26076" w:rsidRDefault="00F3256C" w:rsidP="001429AA">
            <w:pPr>
              <w:rPr>
                <w:rFonts w:ascii="Calibri" w:hAnsi="Calibri" w:cs="Calibri"/>
              </w:rPr>
            </w:pPr>
            <w:r w:rsidRPr="00B26076">
              <w:rPr>
                <w:rFonts w:ascii="Calibri" w:hAnsi="Calibri" w:cs="Calibri"/>
              </w:rPr>
              <w:t>NO</w:t>
            </w:r>
          </w:p>
        </w:tc>
        <w:tc>
          <w:tcPr>
            <w:tcW w:w="3840" w:type="dxa"/>
            <w:noWrap/>
          </w:tcPr>
          <w:p w14:paraId="41CF798F" w14:textId="56D81B8F" w:rsidR="00F64260" w:rsidRPr="00B26076" w:rsidRDefault="00F3256C" w:rsidP="001429AA">
            <w:pPr>
              <w:rPr>
                <w:rFonts w:ascii="Calibri" w:hAnsi="Calibri" w:cs="Calibri"/>
              </w:rPr>
            </w:pPr>
            <w:r w:rsidRPr="00B26076">
              <w:rPr>
                <w:rFonts w:ascii="Calibri" w:hAnsi="Calibri" w:cs="Calibri"/>
              </w:rPr>
              <w:t>NO</w:t>
            </w:r>
          </w:p>
        </w:tc>
      </w:tr>
      <w:tr w:rsidR="00F64260" w:rsidRPr="006E3AF2" w14:paraId="3A6D1D6E" w14:textId="77777777" w:rsidTr="005E2D3D">
        <w:tc>
          <w:tcPr>
            <w:tcW w:w="3100" w:type="dxa"/>
            <w:noWrap/>
            <w:vAlign w:val="center"/>
          </w:tcPr>
          <w:p w14:paraId="0625709D" w14:textId="59C306BF" w:rsidR="00F64260" w:rsidRDefault="00CF0A1D" w:rsidP="007A5702">
            <w:pPr>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3BA62506" w:rsidR="00984B36" w:rsidRPr="00B26076" w:rsidRDefault="00F3256C" w:rsidP="001A51ED">
            <w:pPr>
              <w:rPr>
                <w:rFonts w:ascii="Calibri" w:eastAsia="MS Mincho" w:hAnsi="Calibri" w:cs="Calibri"/>
              </w:rPr>
            </w:pPr>
            <w:bookmarkStart w:id="21" w:name="ge"/>
            <w:bookmarkEnd w:id="21"/>
            <w:proofErr w:type="gramStart"/>
            <w:r w:rsidRPr="00B26076">
              <w:rPr>
                <w:rFonts w:ascii="Calibri" w:hAnsi="Calibri" w:cs="Calibri"/>
              </w:rPr>
              <w:t>NO</w:t>
            </w:r>
            <w:r w:rsidR="00984B36" w:rsidRPr="00B26076">
              <w:rPr>
                <w:rFonts w:ascii="Calibri" w:hAnsi="Calibri" w:cs="Calibri"/>
              </w:rPr>
              <w:t xml:space="preserve">  </w:t>
            </w:r>
            <w:r w:rsidR="00984B36" w:rsidRPr="00B26076">
              <w:rPr>
                <w:rFonts w:ascii="Calibri" w:eastAsia="MS Mincho" w:hAnsi="Calibri" w:cs="Calibri"/>
              </w:rPr>
              <w:t>|</w:t>
            </w:r>
            <w:proofErr w:type="gramEnd"/>
          </w:p>
          <w:p w14:paraId="071181E7" w14:textId="22FB39CB" w:rsidR="00F64260" w:rsidRPr="00B26076" w:rsidRDefault="00F64260" w:rsidP="001A51ED">
            <w:pPr>
              <w:rPr>
                <w:rFonts w:ascii="Calibri" w:hAnsi="Calibri" w:cs="Calibri"/>
              </w:rPr>
            </w:pPr>
          </w:p>
        </w:tc>
        <w:tc>
          <w:tcPr>
            <w:tcW w:w="3840" w:type="dxa"/>
            <w:noWrap/>
          </w:tcPr>
          <w:p w14:paraId="45B135E3" w14:textId="1AE4E6E2" w:rsidR="00F64260" w:rsidRPr="00DB6E63" w:rsidRDefault="00F3256C" w:rsidP="001429AA">
            <w:pPr>
              <w:rPr>
                <w:rFonts w:ascii="Calibri" w:eastAsia="MS Mincho" w:hAnsi="Calibri" w:cs="Calibri"/>
              </w:rPr>
            </w:pPr>
            <w:r w:rsidRPr="00B26076">
              <w:rPr>
                <w:rFonts w:ascii="Calibri" w:hAnsi="Calibri" w:cs="Calibri"/>
              </w:rPr>
              <w:t>NO</w:t>
            </w:r>
            <w:r w:rsidR="00984B36" w:rsidRPr="00B26076">
              <w:rPr>
                <w:rFonts w:ascii="Calibri" w:hAnsi="Calibri" w:cs="Calibri"/>
              </w:rPr>
              <w:t xml:space="preserve"> </w:t>
            </w:r>
            <w:r w:rsidR="00984B36" w:rsidRPr="00B26076">
              <w:rPr>
                <w:rFonts w:ascii="Calibri" w:eastAsia="MS Mincho" w:hAnsi="Calibri" w:cs="Calibri"/>
              </w:rPr>
              <w:t>|</w:t>
            </w:r>
          </w:p>
        </w:tc>
      </w:tr>
      <w:tr w:rsidR="00CF0A1D" w:rsidRPr="006E3AF2" w14:paraId="14ABFD2C" w14:textId="77777777" w:rsidTr="005E2D3D">
        <w:tc>
          <w:tcPr>
            <w:tcW w:w="3100" w:type="dxa"/>
            <w:noWrap/>
            <w:vAlign w:val="center"/>
          </w:tcPr>
          <w:p w14:paraId="6E254464" w14:textId="77777777" w:rsidR="00CF0A1D" w:rsidRDefault="00CF0A1D" w:rsidP="00CF0A1D">
            <w:r>
              <w:t xml:space="preserve">       12. d.  Writing in the </w:t>
            </w:r>
          </w:p>
          <w:p w14:paraId="1762C985" w14:textId="22C77AE9" w:rsidR="00CF0A1D" w:rsidRDefault="00CF0A1D" w:rsidP="00CF0A1D">
            <w:r>
              <w:t xml:space="preserve">       Discipline (WID)</w:t>
            </w:r>
          </w:p>
        </w:tc>
        <w:tc>
          <w:tcPr>
            <w:tcW w:w="3840" w:type="dxa"/>
            <w:noWrap/>
          </w:tcPr>
          <w:p w14:paraId="43D9AC56" w14:textId="15082AB4" w:rsidR="00CF0A1D" w:rsidRPr="00B26076" w:rsidRDefault="00CF0A1D" w:rsidP="001A51ED">
            <w:pPr>
              <w:rPr>
                <w:rFonts w:ascii="Calibri" w:hAnsi="Calibri" w:cs="Calibri"/>
              </w:rPr>
            </w:pPr>
            <w:r w:rsidRPr="00B26076">
              <w:rPr>
                <w:rFonts w:ascii="Calibri" w:hAnsi="Calibri" w:cs="Calibri"/>
              </w:rPr>
              <w:t>NO</w:t>
            </w:r>
          </w:p>
        </w:tc>
        <w:tc>
          <w:tcPr>
            <w:tcW w:w="3840" w:type="dxa"/>
            <w:noWrap/>
          </w:tcPr>
          <w:p w14:paraId="10B541DA" w14:textId="1F8D7DB3" w:rsidR="00CF0A1D" w:rsidRPr="00B26076" w:rsidRDefault="00CF0A1D" w:rsidP="001429AA">
            <w:pPr>
              <w:rPr>
                <w:rFonts w:ascii="Calibri" w:hAnsi="Calibri" w:cs="Calibri"/>
              </w:rPr>
            </w:pPr>
            <w:r w:rsidRPr="00B26076">
              <w:rPr>
                <w:rFonts w:ascii="Calibri" w:hAnsi="Calibri" w:cs="Calibri"/>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121C0E9A" w:rsidR="00F64260" w:rsidRPr="00B26076" w:rsidRDefault="00F64260" w:rsidP="0027634D">
            <w:pPr>
              <w:rPr>
                <w:rFonts w:ascii="Calibri" w:eastAsia="MS Mincho" w:hAnsi="Calibri" w:cs="Calibri"/>
              </w:rPr>
            </w:pPr>
            <w:bookmarkStart w:id="22" w:name="performance"/>
            <w:bookmarkEnd w:id="22"/>
            <w:proofErr w:type="gramStart"/>
            <w:r w:rsidRPr="00B26076">
              <w:rPr>
                <w:rFonts w:ascii="Calibri" w:hAnsi="Calibri" w:cs="Calibri"/>
              </w:rPr>
              <w:t xml:space="preserve">Attendance  </w:t>
            </w:r>
            <w:r w:rsidRPr="00B26076">
              <w:rPr>
                <w:rFonts w:ascii="Calibri" w:eastAsia="MS Mincho" w:hAnsi="Calibri" w:cs="Calibri"/>
              </w:rPr>
              <w:t>|</w:t>
            </w:r>
            <w:proofErr w:type="gramEnd"/>
            <w:r w:rsidRPr="00B26076">
              <w:rPr>
                <w:rFonts w:ascii="Calibri" w:eastAsia="MS Mincho" w:hAnsi="Calibri" w:cs="Calibri"/>
              </w:rPr>
              <w:t xml:space="preserve"> </w:t>
            </w:r>
            <w:r w:rsidRPr="00B26076">
              <w:rPr>
                <w:rFonts w:ascii="Calibri" w:hAnsi="Calibri" w:cs="Calibri"/>
              </w:rPr>
              <w:t xml:space="preserve">Class participation </w:t>
            </w:r>
            <w:r w:rsidRPr="00B26076">
              <w:rPr>
                <w:rFonts w:ascii="Calibri" w:eastAsia="MS Mincho" w:hAnsi="Calibri" w:cs="Calibri"/>
              </w:rPr>
              <w:t>|</w:t>
            </w:r>
            <w:r w:rsidRPr="00B26076">
              <w:rPr>
                <w:rFonts w:ascii="Calibri" w:hAnsi="Calibri" w:cs="Calibri"/>
              </w:rPr>
              <w:t xml:space="preserve">  Exams  </w:t>
            </w:r>
            <w:r w:rsidRPr="00B26076">
              <w:rPr>
                <w:rFonts w:ascii="Calibri" w:eastAsia="MS Mincho" w:hAnsi="Calibri" w:cs="Calibri"/>
              </w:rPr>
              <w:t xml:space="preserve">| </w:t>
            </w:r>
            <w:r w:rsidRPr="00B26076">
              <w:rPr>
                <w:rFonts w:ascii="Calibri" w:hAnsi="Calibri" w:cs="Calibri"/>
              </w:rPr>
              <w:t xml:space="preserve"> Papers  </w:t>
            </w:r>
            <w:r w:rsidRPr="00B26076">
              <w:rPr>
                <w:rFonts w:ascii="Calibri" w:eastAsia="MS Mincho" w:hAnsi="Calibri" w:cs="Calibri"/>
              </w:rPr>
              <w:t xml:space="preserve">| </w:t>
            </w:r>
          </w:p>
          <w:p w14:paraId="5D99F30E" w14:textId="2DDCE026" w:rsidR="000C1152" w:rsidRPr="00B26076" w:rsidRDefault="00F64260" w:rsidP="000C1152">
            <w:pPr>
              <w:rPr>
                <w:rFonts w:ascii="Calibri" w:hAnsi="Calibri" w:cs="Calibri"/>
              </w:rPr>
            </w:pPr>
            <w:r w:rsidRPr="00B26076">
              <w:rPr>
                <w:rFonts w:ascii="Calibri" w:hAnsi="Calibri" w:cs="Calibri"/>
              </w:rPr>
              <w:t xml:space="preserve">Class </w:t>
            </w:r>
            <w:proofErr w:type="gramStart"/>
            <w:r w:rsidRPr="00B26076">
              <w:rPr>
                <w:rFonts w:ascii="Calibri" w:hAnsi="Calibri" w:cs="Calibri"/>
              </w:rPr>
              <w:t xml:space="preserve">Work  </w:t>
            </w:r>
            <w:r w:rsidRPr="00B26076">
              <w:rPr>
                <w:rFonts w:ascii="Calibri" w:eastAsia="MS Mincho" w:hAnsi="Calibri" w:cs="Calibri"/>
              </w:rPr>
              <w:t>|</w:t>
            </w:r>
            <w:proofErr w:type="gramEnd"/>
            <w:r w:rsidRPr="00B26076">
              <w:rPr>
                <w:rFonts w:ascii="Calibri" w:eastAsia="MS Mincho" w:hAnsi="Calibri" w:cs="Calibri"/>
              </w:rPr>
              <w:t xml:space="preserve"> </w:t>
            </w:r>
            <w:r w:rsidRPr="00B26076">
              <w:rPr>
                <w:rFonts w:ascii="Calibri" w:hAnsi="Calibri" w:cs="Calibri"/>
              </w:rPr>
              <w:t>Quizzes |</w:t>
            </w:r>
          </w:p>
          <w:p w14:paraId="1A66AF8F" w14:textId="27FA7EC9" w:rsidR="00F64260" w:rsidRPr="00B26076" w:rsidRDefault="00F64260" w:rsidP="0027634D">
            <w:pPr>
              <w:rPr>
                <w:rFonts w:ascii="Calibri" w:hAnsi="Calibri" w:cs="Calibri"/>
              </w:rPr>
            </w:pPr>
          </w:p>
        </w:tc>
        <w:tc>
          <w:tcPr>
            <w:tcW w:w="3840" w:type="dxa"/>
            <w:noWrap/>
          </w:tcPr>
          <w:p w14:paraId="619257F5" w14:textId="77777777" w:rsidR="000C1152" w:rsidRPr="00B26076" w:rsidRDefault="000C1152" w:rsidP="000C1152">
            <w:pPr>
              <w:rPr>
                <w:rFonts w:ascii="Calibri" w:eastAsia="MS Mincho" w:hAnsi="Calibri" w:cs="Calibri"/>
              </w:rPr>
            </w:pPr>
            <w:proofErr w:type="gramStart"/>
            <w:r w:rsidRPr="00B26076">
              <w:rPr>
                <w:rFonts w:ascii="Calibri" w:hAnsi="Calibri" w:cs="Calibri"/>
              </w:rPr>
              <w:t xml:space="preserve">Attendance  </w:t>
            </w:r>
            <w:r w:rsidRPr="00B26076">
              <w:rPr>
                <w:rFonts w:ascii="Calibri" w:eastAsia="MS Mincho" w:hAnsi="Calibri" w:cs="Calibri"/>
              </w:rPr>
              <w:t>|</w:t>
            </w:r>
            <w:proofErr w:type="gramEnd"/>
            <w:r w:rsidRPr="00B26076">
              <w:rPr>
                <w:rFonts w:ascii="Calibri" w:eastAsia="MS Mincho" w:hAnsi="Calibri" w:cs="Calibri"/>
              </w:rPr>
              <w:t xml:space="preserve"> </w:t>
            </w:r>
            <w:r w:rsidRPr="00B26076">
              <w:rPr>
                <w:rFonts w:ascii="Calibri" w:hAnsi="Calibri" w:cs="Calibri"/>
              </w:rPr>
              <w:t xml:space="preserve">Class participation </w:t>
            </w:r>
            <w:r w:rsidRPr="00B26076">
              <w:rPr>
                <w:rFonts w:ascii="Calibri" w:eastAsia="MS Mincho" w:hAnsi="Calibri" w:cs="Calibri"/>
              </w:rPr>
              <w:t>|</w:t>
            </w:r>
            <w:r w:rsidRPr="00B26076">
              <w:rPr>
                <w:rFonts w:ascii="Calibri" w:hAnsi="Calibri" w:cs="Calibri"/>
              </w:rPr>
              <w:t xml:space="preserve">  Exams  </w:t>
            </w:r>
            <w:r w:rsidRPr="00B26076">
              <w:rPr>
                <w:rFonts w:ascii="Calibri" w:eastAsia="MS Mincho" w:hAnsi="Calibri" w:cs="Calibri"/>
              </w:rPr>
              <w:t xml:space="preserve">| </w:t>
            </w:r>
            <w:r w:rsidRPr="00B26076">
              <w:rPr>
                <w:rFonts w:ascii="Calibri" w:hAnsi="Calibri" w:cs="Calibri"/>
              </w:rPr>
              <w:t xml:space="preserve"> Papers  </w:t>
            </w:r>
            <w:r w:rsidRPr="00B26076">
              <w:rPr>
                <w:rFonts w:ascii="Calibri" w:eastAsia="MS Mincho" w:hAnsi="Calibri" w:cs="Calibri"/>
              </w:rPr>
              <w:t xml:space="preserve">| </w:t>
            </w:r>
          </w:p>
          <w:p w14:paraId="4645434C" w14:textId="77777777" w:rsidR="000C1152" w:rsidRPr="00B26076" w:rsidRDefault="000C1152" w:rsidP="000C1152">
            <w:pPr>
              <w:rPr>
                <w:rFonts w:ascii="Calibri" w:hAnsi="Calibri" w:cs="Calibri"/>
              </w:rPr>
            </w:pPr>
            <w:r w:rsidRPr="00B26076">
              <w:rPr>
                <w:rFonts w:ascii="Calibri" w:hAnsi="Calibri" w:cs="Calibri"/>
              </w:rPr>
              <w:t xml:space="preserve">Class </w:t>
            </w:r>
            <w:proofErr w:type="gramStart"/>
            <w:r w:rsidRPr="00B26076">
              <w:rPr>
                <w:rFonts w:ascii="Calibri" w:hAnsi="Calibri" w:cs="Calibri"/>
              </w:rPr>
              <w:t xml:space="preserve">Work  </w:t>
            </w:r>
            <w:r w:rsidRPr="00B26076">
              <w:rPr>
                <w:rFonts w:ascii="Calibri" w:eastAsia="MS Mincho" w:hAnsi="Calibri" w:cs="Calibri"/>
              </w:rPr>
              <w:t>|</w:t>
            </w:r>
            <w:proofErr w:type="gramEnd"/>
            <w:r w:rsidRPr="00B26076">
              <w:rPr>
                <w:rFonts w:ascii="Calibri" w:eastAsia="MS Mincho" w:hAnsi="Calibri" w:cs="Calibri"/>
              </w:rPr>
              <w:t xml:space="preserve"> </w:t>
            </w:r>
            <w:r w:rsidRPr="00B26076">
              <w:rPr>
                <w:rFonts w:ascii="Calibri" w:hAnsi="Calibri" w:cs="Calibri"/>
              </w:rPr>
              <w:t>Quizzes |</w:t>
            </w:r>
          </w:p>
          <w:p w14:paraId="33AC4615" w14:textId="4522C2A7" w:rsidR="00F64260" w:rsidRPr="00B26076" w:rsidRDefault="00F64260" w:rsidP="005E2D3D">
            <w:pPr>
              <w:rPr>
                <w:rFonts w:ascii="Calibri" w:hAnsi="Calibri" w:cs="Calibri"/>
              </w:rPr>
            </w:pPr>
          </w:p>
        </w:tc>
      </w:tr>
      <w:tr w:rsidR="00BF30C5" w:rsidRPr="006E3AF2" w14:paraId="679110FC" w14:textId="77777777" w:rsidTr="005E2D3D">
        <w:tc>
          <w:tcPr>
            <w:tcW w:w="3100" w:type="dxa"/>
            <w:noWrap/>
            <w:vAlign w:val="center"/>
          </w:tcPr>
          <w:p w14:paraId="76B36BCE" w14:textId="39C4BAC4" w:rsidR="00BF30C5" w:rsidRDefault="00BF30C5" w:rsidP="00BF30C5">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32C96FFF" w:rsidR="00BF30C5" w:rsidRPr="00B26076" w:rsidRDefault="000C1152" w:rsidP="001429AA">
            <w:pPr>
              <w:rPr>
                <w:rFonts w:ascii="Calibri" w:hAnsi="Calibri" w:cs="Calibri"/>
              </w:rPr>
            </w:pPr>
            <w:r w:rsidRPr="00B26076">
              <w:rPr>
                <w:rFonts w:ascii="Calibri" w:hAnsi="Calibri" w:cs="Calibri"/>
              </w:rPr>
              <w:t>≤30</w:t>
            </w:r>
          </w:p>
        </w:tc>
        <w:tc>
          <w:tcPr>
            <w:tcW w:w="3840" w:type="dxa"/>
            <w:noWrap/>
          </w:tcPr>
          <w:p w14:paraId="79164CE6" w14:textId="3303C5D6" w:rsidR="00BF30C5" w:rsidRPr="00B26076" w:rsidRDefault="000C1152" w:rsidP="001429AA">
            <w:pPr>
              <w:rPr>
                <w:rFonts w:ascii="Calibri" w:hAnsi="Calibri" w:cs="Calibri"/>
              </w:rPr>
            </w:pPr>
            <w:r w:rsidRPr="00B26076">
              <w:rPr>
                <w:rFonts w:ascii="Calibri" w:hAnsi="Calibri" w:cs="Calibri"/>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B26076" w:rsidRDefault="00F64260" w:rsidP="001429AA">
            <w:pPr>
              <w:rPr>
                <w:rFonts w:asciiTheme="majorHAnsi" w:hAnsiTheme="majorHAnsi" w:cstheme="majorHAnsi"/>
                <w:b/>
              </w:rPr>
            </w:pPr>
            <w:bookmarkStart w:id="24" w:name="competing"/>
            <w:bookmarkEnd w:id="24"/>
          </w:p>
        </w:tc>
        <w:tc>
          <w:tcPr>
            <w:tcW w:w="3840" w:type="dxa"/>
            <w:noWrap/>
          </w:tcPr>
          <w:p w14:paraId="15AF74BC" w14:textId="77777777" w:rsidR="00F64260" w:rsidRPr="00B26076" w:rsidRDefault="00F64260" w:rsidP="001429AA">
            <w:pPr>
              <w:rPr>
                <w:rFonts w:asciiTheme="majorHAnsi" w:hAnsiTheme="majorHAnsi" w:cstheme="majorHAnsi"/>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rPr>
                <w:rStyle w:val="TEXT"/>
              </w:rPr>
            </w:pPr>
          </w:p>
        </w:tc>
      </w:tr>
    </w:tbl>
    <w:p w14:paraId="0A7F01A1" w14:textId="77777777" w:rsidR="00F64260" w:rsidRDefault="00F642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4"/>
        <w:gridCol w:w="1963"/>
        <w:gridCol w:w="4533"/>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47FC3">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D47FC3"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9FD2FD3" w:rsidR="00F64260" w:rsidRDefault="006F5EC2">
            <w:bookmarkStart w:id="25" w:name="outcomes"/>
            <w:bookmarkEnd w:id="25"/>
            <w:r>
              <w:t>Students understand and articulate different views of the nature of law and the implications of each</w:t>
            </w:r>
          </w:p>
        </w:tc>
        <w:tc>
          <w:tcPr>
            <w:tcW w:w="1894" w:type="dxa"/>
          </w:tcPr>
          <w:p w14:paraId="0A045709" w14:textId="77777777" w:rsidR="00F64260" w:rsidRDefault="00F64260"/>
        </w:tc>
        <w:tc>
          <w:tcPr>
            <w:tcW w:w="4693" w:type="dxa"/>
          </w:tcPr>
          <w:p w14:paraId="394F2286" w14:textId="77777777" w:rsidR="006F5EC2" w:rsidRDefault="006F5EC2" w:rsidP="006F5EC2">
            <w:r>
              <w:t>Exams</w:t>
            </w:r>
          </w:p>
          <w:p w14:paraId="2BEC4EAA" w14:textId="77777777" w:rsidR="006F5EC2" w:rsidRDefault="006F5EC2" w:rsidP="006F5EC2">
            <w:r>
              <w:t>Papers</w:t>
            </w:r>
          </w:p>
          <w:p w14:paraId="23929D63" w14:textId="77777777" w:rsidR="006F5EC2" w:rsidRDefault="006F5EC2" w:rsidP="006F5EC2">
            <w:r>
              <w:t>In- class discussion</w:t>
            </w:r>
          </w:p>
          <w:p w14:paraId="638BB382" w14:textId="3A0F67CF" w:rsidR="00F64260" w:rsidRDefault="00CC0937" w:rsidP="006F5EC2">
            <w:r>
              <w:t xml:space="preserve">Exercises &amp; </w:t>
            </w:r>
            <w:r w:rsidR="006F5EC2">
              <w:t>Simulations</w:t>
            </w:r>
          </w:p>
        </w:tc>
      </w:tr>
      <w:tr w:rsidR="006F5EC2" w14:paraId="6A7FE1A7" w14:textId="77777777" w:rsidTr="00115A68">
        <w:tc>
          <w:tcPr>
            <w:tcW w:w="4429" w:type="dxa"/>
          </w:tcPr>
          <w:p w14:paraId="27055755" w14:textId="57F6E268" w:rsidR="006F5EC2" w:rsidRDefault="006F5EC2">
            <w:r>
              <w:t>Students understand the main elements of the judicial process in civil and criminal cases and can apply them.</w:t>
            </w:r>
          </w:p>
        </w:tc>
        <w:tc>
          <w:tcPr>
            <w:tcW w:w="1894" w:type="dxa"/>
          </w:tcPr>
          <w:p w14:paraId="12F40FEE" w14:textId="77777777" w:rsidR="006F5EC2" w:rsidRDefault="006F5EC2"/>
        </w:tc>
        <w:tc>
          <w:tcPr>
            <w:tcW w:w="4693" w:type="dxa"/>
          </w:tcPr>
          <w:p w14:paraId="1F67B4FF" w14:textId="77777777" w:rsidR="006F5EC2" w:rsidRDefault="006F5EC2" w:rsidP="006F5EC2">
            <w:r>
              <w:t>Exams</w:t>
            </w:r>
          </w:p>
          <w:p w14:paraId="68975740" w14:textId="77777777" w:rsidR="006F5EC2" w:rsidRDefault="006F5EC2" w:rsidP="006F5EC2">
            <w:r>
              <w:t>Papers</w:t>
            </w:r>
          </w:p>
          <w:p w14:paraId="10FB306F" w14:textId="77777777" w:rsidR="006F5EC2" w:rsidRDefault="006F5EC2" w:rsidP="006F5EC2">
            <w:r>
              <w:t>In- class discussion</w:t>
            </w:r>
          </w:p>
          <w:p w14:paraId="3813CBD8" w14:textId="3F9B6B8F" w:rsidR="006F5EC2" w:rsidRDefault="00CC0937" w:rsidP="006F5EC2">
            <w:r>
              <w:t>Exercises &amp; Simulations</w:t>
            </w:r>
          </w:p>
        </w:tc>
      </w:tr>
      <w:tr w:rsidR="006F5EC2" w14:paraId="060E340F" w14:textId="77777777" w:rsidTr="00115A68">
        <w:tc>
          <w:tcPr>
            <w:tcW w:w="4429" w:type="dxa"/>
          </w:tcPr>
          <w:p w14:paraId="69BE8FF8" w14:textId="29C0BA12" w:rsidR="006F5EC2" w:rsidRDefault="006F5EC2" w:rsidP="006F5EC2">
            <w:pPr>
              <w:tabs>
                <w:tab w:val="left" w:pos="2597"/>
              </w:tabs>
            </w:pPr>
            <w:r>
              <w:t xml:space="preserve">Students understand the main principles of </w:t>
            </w:r>
            <w:r w:rsidR="003F3AEB">
              <w:t>various areas of law</w:t>
            </w:r>
            <w:r>
              <w:t xml:space="preserve"> and can apply them</w:t>
            </w:r>
            <w:r w:rsidR="003F3AEB">
              <w:t>.</w:t>
            </w:r>
          </w:p>
        </w:tc>
        <w:tc>
          <w:tcPr>
            <w:tcW w:w="1894" w:type="dxa"/>
          </w:tcPr>
          <w:p w14:paraId="4EA611FB" w14:textId="77777777" w:rsidR="006F5EC2" w:rsidRDefault="006F5EC2"/>
        </w:tc>
        <w:tc>
          <w:tcPr>
            <w:tcW w:w="4693" w:type="dxa"/>
          </w:tcPr>
          <w:p w14:paraId="3299856D" w14:textId="77777777" w:rsidR="006F5EC2" w:rsidRDefault="006F5EC2" w:rsidP="006F5EC2">
            <w:r>
              <w:t>Exams</w:t>
            </w:r>
          </w:p>
          <w:p w14:paraId="46A0635D" w14:textId="77777777" w:rsidR="006F5EC2" w:rsidRDefault="006F5EC2" w:rsidP="006F5EC2">
            <w:r>
              <w:t>Papers</w:t>
            </w:r>
          </w:p>
          <w:p w14:paraId="1210CC8A" w14:textId="77777777" w:rsidR="006F5EC2" w:rsidRDefault="006F5EC2" w:rsidP="006F5EC2">
            <w:r>
              <w:t>In- class discussion</w:t>
            </w:r>
          </w:p>
          <w:p w14:paraId="540CB1CF" w14:textId="10DB88CF" w:rsidR="006F5EC2" w:rsidRDefault="00CC0937" w:rsidP="006F5EC2">
            <w:r>
              <w:t>Exercises &amp; Simulations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11AFAA11" w14:textId="763B424C" w:rsidR="00C62F65" w:rsidRDefault="00C62F65" w:rsidP="00C62F65">
            <w:pPr>
              <w:pStyle w:val="ListParagraph"/>
              <w:numPr>
                <w:ilvl w:val="0"/>
                <w:numId w:val="8"/>
              </w:numPr>
              <w:spacing w:line="240" w:lineRule="auto"/>
            </w:pPr>
            <w:bookmarkStart w:id="26" w:name="outline"/>
            <w:bookmarkEnd w:id="26"/>
            <w:r>
              <w:t>Law</w:t>
            </w:r>
          </w:p>
          <w:p w14:paraId="1B1BFC8F" w14:textId="2450325B" w:rsidR="00C62F65" w:rsidRDefault="00C62F65" w:rsidP="00C62F65">
            <w:pPr>
              <w:pStyle w:val="ListParagraph"/>
              <w:numPr>
                <w:ilvl w:val="1"/>
                <w:numId w:val="8"/>
              </w:numPr>
              <w:spacing w:line="240" w:lineRule="auto"/>
            </w:pPr>
            <w:r>
              <w:t>Purposes</w:t>
            </w:r>
            <w:r w:rsidR="003F3AEB">
              <w:t>, sources, and types.</w:t>
            </w:r>
          </w:p>
          <w:p w14:paraId="0018C94B" w14:textId="4DF00B84" w:rsidR="00F64260" w:rsidRDefault="00C62F65" w:rsidP="000556B3">
            <w:pPr>
              <w:pStyle w:val="ListParagraph"/>
              <w:numPr>
                <w:ilvl w:val="0"/>
                <w:numId w:val="8"/>
              </w:numPr>
              <w:spacing w:line="240" w:lineRule="auto"/>
            </w:pPr>
            <w:r>
              <w:t>Courts</w:t>
            </w:r>
          </w:p>
          <w:p w14:paraId="39516952" w14:textId="77A2921B" w:rsidR="005E2D3D" w:rsidRDefault="00C62F65" w:rsidP="003F3AEB">
            <w:pPr>
              <w:pStyle w:val="ListParagraph"/>
              <w:numPr>
                <w:ilvl w:val="1"/>
                <w:numId w:val="8"/>
              </w:numPr>
              <w:spacing w:line="240" w:lineRule="auto"/>
            </w:pPr>
            <w:r>
              <w:t>Trial Process</w:t>
            </w:r>
            <w:r w:rsidR="003F3AEB">
              <w:t xml:space="preserve"> and appellate p</w:t>
            </w:r>
            <w:r>
              <w:t>rocess</w:t>
            </w:r>
          </w:p>
          <w:p w14:paraId="05EF6A73" w14:textId="1DD214AA" w:rsidR="005E2D3D" w:rsidRDefault="00C62F65" w:rsidP="005E2D3D">
            <w:pPr>
              <w:pStyle w:val="ListParagraph"/>
              <w:numPr>
                <w:ilvl w:val="0"/>
                <w:numId w:val="8"/>
              </w:numPr>
              <w:spacing w:line="240" w:lineRule="auto"/>
            </w:pPr>
            <w:r>
              <w:t>Judicial Decisions</w:t>
            </w:r>
          </w:p>
          <w:p w14:paraId="04B435F4" w14:textId="54127439" w:rsidR="005E2D3D" w:rsidRDefault="00277DAF" w:rsidP="005E2D3D">
            <w:pPr>
              <w:pStyle w:val="ListParagraph"/>
              <w:numPr>
                <w:ilvl w:val="1"/>
                <w:numId w:val="8"/>
              </w:numPr>
              <w:spacing w:line="240" w:lineRule="auto"/>
            </w:pPr>
            <w:r>
              <w:t>Explore normative models of ju</w:t>
            </w:r>
            <w:r w:rsidR="00231B74">
              <w:t>dicial decision making in diverse contexts</w:t>
            </w:r>
            <w:r w:rsidR="00CC0937">
              <w:t>- how should judges decide?</w:t>
            </w:r>
          </w:p>
          <w:p w14:paraId="620E6AFC" w14:textId="63018579" w:rsidR="00C62F65" w:rsidRDefault="00277DAF" w:rsidP="00C62F65">
            <w:pPr>
              <w:pStyle w:val="ListParagraph"/>
              <w:numPr>
                <w:ilvl w:val="0"/>
                <w:numId w:val="8"/>
              </w:numPr>
              <w:spacing w:line="240" w:lineRule="auto"/>
            </w:pPr>
            <w:r>
              <w:t xml:space="preserve">In-depth </w:t>
            </w:r>
            <w:r w:rsidR="00AD0FA0">
              <w:t>Stud</w:t>
            </w:r>
            <w:r>
              <w:t xml:space="preserve">y of an area of substantive law </w:t>
            </w:r>
          </w:p>
          <w:p w14:paraId="52FE803E" w14:textId="3AE6978F" w:rsidR="006E520A" w:rsidRDefault="00277DAF" w:rsidP="006E520A">
            <w:pPr>
              <w:pStyle w:val="ListParagraph"/>
              <w:numPr>
                <w:ilvl w:val="1"/>
                <w:numId w:val="8"/>
              </w:numPr>
              <w:spacing w:line="240" w:lineRule="auto"/>
            </w:pPr>
            <w:r>
              <w:t>Criminal Law</w:t>
            </w:r>
          </w:p>
          <w:p w14:paraId="4123660D" w14:textId="3B512124" w:rsidR="00C62F65" w:rsidRDefault="00277DAF" w:rsidP="00C62F65">
            <w:pPr>
              <w:pStyle w:val="ListParagraph"/>
              <w:numPr>
                <w:ilvl w:val="1"/>
                <w:numId w:val="8"/>
              </w:numPr>
              <w:spacing w:line="240" w:lineRule="auto"/>
            </w:pPr>
            <w:r>
              <w:lastRenderedPageBreak/>
              <w:t>Tort Law</w:t>
            </w:r>
          </w:p>
          <w:p w14:paraId="327133E7" w14:textId="08B70349" w:rsidR="006E520A" w:rsidRDefault="006E520A" w:rsidP="00C62F65">
            <w:pPr>
              <w:pStyle w:val="ListParagraph"/>
              <w:numPr>
                <w:ilvl w:val="1"/>
                <w:numId w:val="8"/>
              </w:numPr>
              <w:spacing w:line="240" w:lineRule="auto"/>
            </w:pPr>
            <w:r>
              <w:t>Property Law</w:t>
            </w:r>
          </w:p>
          <w:p w14:paraId="7005C45C" w14:textId="6E1E52BE" w:rsidR="006E520A" w:rsidRDefault="006E520A" w:rsidP="00C62F65">
            <w:pPr>
              <w:pStyle w:val="ListParagraph"/>
              <w:numPr>
                <w:ilvl w:val="1"/>
                <w:numId w:val="8"/>
              </w:numPr>
              <w:spacing w:line="240" w:lineRule="auto"/>
            </w:pPr>
            <w:r>
              <w:t>Contract Law</w:t>
            </w:r>
          </w:p>
          <w:p w14:paraId="26E20D60" w14:textId="729BD89F" w:rsidR="00C62F65" w:rsidRDefault="006E520A" w:rsidP="00C62F65">
            <w:pPr>
              <w:pStyle w:val="ListParagraph"/>
              <w:numPr>
                <w:ilvl w:val="1"/>
                <w:numId w:val="8"/>
              </w:numPr>
              <w:spacing w:line="240" w:lineRule="auto"/>
            </w:pPr>
            <w:r>
              <w:t>Constitutional Law</w:t>
            </w:r>
          </w:p>
          <w:p w14:paraId="6B2C7A47" w14:textId="4F67F427" w:rsidR="00C62F65" w:rsidRDefault="00C62F65" w:rsidP="00C62F65"/>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1DBB7744" w:rsidR="00115A68" w:rsidRDefault="00F33C92" w:rsidP="00115A68">
      <w:pPr>
        <w:pStyle w:val="Heading5"/>
      </w:pPr>
      <w:r>
        <w:rPr>
          <w:noProof/>
        </w:rPr>
        <w:drawing>
          <wp:inline distT="0" distB="0" distL="0" distR="0" wp14:anchorId="3BDB1DD5" wp14:editId="7A30FD46">
            <wp:extent cx="6858000" cy="41198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858000" cy="4119880"/>
                    </a:xfrm>
                    <a:prstGeom prst="rect">
                      <a:avLst/>
                    </a:prstGeom>
                  </pic:spPr>
                </pic:pic>
              </a:graphicData>
            </a:graphic>
          </wp:inline>
        </w:drawing>
      </w:r>
    </w:p>
    <w:sectPr w:rsidR="00115A68"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A765" w14:textId="77777777" w:rsidR="00D47FC3" w:rsidRDefault="00D47FC3" w:rsidP="00FA78CA">
      <w:r>
        <w:separator/>
      </w:r>
    </w:p>
  </w:endnote>
  <w:endnote w:type="continuationSeparator" w:id="0">
    <w:p w14:paraId="0B7510E4" w14:textId="77777777" w:rsidR="00D47FC3" w:rsidRDefault="00D47FC3"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A815" w14:textId="77777777" w:rsidR="00D47FC3" w:rsidRDefault="00D47FC3" w:rsidP="00FA78CA">
      <w:r>
        <w:separator/>
      </w:r>
    </w:p>
  </w:footnote>
  <w:footnote w:type="continuationSeparator" w:id="0">
    <w:p w14:paraId="062C2891" w14:textId="77777777" w:rsidR="00D47FC3" w:rsidRDefault="00D47FC3"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C9D780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33C92">
      <w:rPr>
        <w:color w:val="4F6228"/>
      </w:rPr>
      <w:t>21-22-047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33C92">
      <w:rPr>
        <w:color w:val="4F6228"/>
      </w:rPr>
      <w:t>4/29/2022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B22D2"/>
    <w:multiLevelType w:val="hybridMultilevel"/>
    <w:tmpl w:val="9C38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4"/>
  </w:num>
  <w:num w:numId="12">
    <w:abstractNumId w:val="7"/>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834B1"/>
    <w:rsid w:val="000A36CD"/>
    <w:rsid w:val="000C1152"/>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2324"/>
    <w:rsid w:val="00155826"/>
    <w:rsid w:val="001622D2"/>
    <w:rsid w:val="00175D3F"/>
    <w:rsid w:val="00176C55"/>
    <w:rsid w:val="00181A4B"/>
    <w:rsid w:val="001A1D27"/>
    <w:rsid w:val="001A37FB"/>
    <w:rsid w:val="001A51ED"/>
    <w:rsid w:val="001B2E3A"/>
    <w:rsid w:val="001C14FC"/>
    <w:rsid w:val="001C3A09"/>
    <w:rsid w:val="0020058E"/>
    <w:rsid w:val="00202563"/>
    <w:rsid w:val="00231B74"/>
    <w:rsid w:val="002356E7"/>
    <w:rsid w:val="00237355"/>
    <w:rsid w:val="00241866"/>
    <w:rsid w:val="002578DB"/>
    <w:rsid w:val="00263D78"/>
    <w:rsid w:val="0026461B"/>
    <w:rsid w:val="0027634D"/>
    <w:rsid w:val="00277DAF"/>
    <w:rsid w:val="00284473"/>
    <w:rsid w:val="0028586D"/>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13B2"/>
    <w:rsid w:val="003153C3"/>
    <w:rsid w:val="00323DD8"/>
    <w:rsid w:val="00345149"/>
    <w:rsid w:val="0037253D"/>
    <w:rsid w:val="00375A4E"/>
    <w:rsid w:val="00375CE1"/>
    <w:rsid w:val="00376A8B"/>
    <w:rsid w:val="003A45F6"/>
    <w:rsid w:val="003B4A52"/>
    <w:rsid w:val="003C1A54"/>
    <w:rsid w:val="003C511E"/>
    <w:rsid w:val="003D7372"/>
    <w:rsid w:val="003E539A"/>
    <w:rsid w:val="003F099C"/>
    <w:rsid w:val="003F3AEB"/>
    <w:rsid w:val="003F4E82"/>
    <w:rsid w:val="00402602"/>
    <w:rsid w:val="004105B6"/>
    <w:rsid w:val="00423E81"/>
    <w:rsid w:val="004254A0"/>
    <w:rsid w:val="00426C3A"/>
    <w:rsid w:val="004313E6"/>
    <w:rsid w:val="004403BD"/>
    <w:rsid w:val="00442EEA"/>
    <w:rsid w:val="00475EB9"/>
    <w:rsid w:val="004779B4"/>
    <w:rsid w:val="00480FAA"/>
    <w:rsid w:val="004A0C80"/>
    <w:rsid w:val="004D180F"/>
    <w:rsid w:val="004E57C5"/>
    <w:rsid w:val="004E79A5"/>
    <w:rsid w:val="00517DB2"/>
    <w:rsid w:val="00526851"/>
    <w:rsid w:val="00541F11"/>
    <w:rsid w:val="005473BC"/>
    <w:rsid w:val="00550AD6"/>
    <w:rsid w:val="00572738"/>
    <w:rsid w:val="00581C78"/>
    <w:rsid w:val="005851AF"/>
    <w:rsid w:val="005873E3"/>
    <w:rsid w:val="00593311"/>
    <w:rsid w:val="005B1049"/>
    <w:rsid w:val="005C23BD"/>
    <w:rsid w:val="005C3F83"/>
    <w:rsid w:val="005D389E"/>
    <w:rsid w:val="005E2D3D"/>
    <w:rsid w:val="005F2A05"/>
    <w:rsid w:val="0061535B"/>
    <w:rsid w:val="00654CD1"/>
    <w:rsid w:val="006575EA"/>
    <w:rsid w:val="00670869"/>
    <w:rsid w:val="006761E1"/>
    <w:rsid w:val="00683987"/>
    <w:rsid w:val="006970B0"/>
    <w:rsid w:val="006B20A9"/>
    <w:rsid w:val="006E203D"/>
    <w:rsid w:val="006E365C"/>
    <w:rsid w:val="006E3AF2"/>
    <w:rsid w:val="006E520A"/>
    <w:rsid w:val="006E6680"/>
    <w:rsid w:val="006F5EC2"/>
    <w:rsid w:val="006F7F90"/>
    <w:rsid w:val="00704CFF"/>
    <w:rsid w:val="00705819"/>
    <w:rsid w:val="00706745"/>
    <w:rsid w:val="007072F7"/>
    <w:rsid w:val="00714B57"/>
    <w:rsid w:val="0071544D"/>
    <w:rsid w:val="00726EED"/>
    <w:rsid w:val="0074235B"/>
    <w:rsid w:val="00743AD2"/>
    <w:rsid w:val="007445F4"/>
    <w:rsid w:val="007554DE"/>
    <w:rsid w:val="00760EA6"/>
    <w:rsid w:val="00766256"/>
    <w:rsid w:val="00783D27"/>
    <w:rsid w:val="00795D54"/>
    <w:rsid w:val="00796AF7"/>
    <w:rsid w:val="007970C3"/>
    <w:rsid w:val="007A5702"/>
    <w:rsid w:val="007B10BE"/>
    <w:rsid w:val="007D3BD4"/>
    <w:rsid w:val="007F0000"/>
    <w:rsid w:val="007F4255"/>
    <w:rsid w:val="008122C6"/>
    <w:rsid w:val="0085229B"/>
    <w:rsid w:val="008555D8"/>
    <w:rsid w:val="008620DF"/>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53318"/>
    <w:rsid w:val="0098046D"/>
    <w:rsid w:val="00984B36"/>
    <w:rsid w:val="009A4E6F"/>
    <w:rsid w:val="009A58C1"/>
    <w:rsid w:val="009B4B02"/>
    <w:rsid w:val="009C1440"/>
    <w:rsid w:val="009F029C"/>
    <w:rsid w:val="009F2F3E"/>
    <w:rsid w:val="00A01611"/>
    <w:rsid w:val="00A04A92"/>
    <w:rsid w:val="00A06E22"/>
    <w:rsid w:val="00A06F22"/>
    <w:rsid w:val="00A11DCD"/>
    <w:rsid w:val="00A2431C"/>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B15DD"/>
    <w:rsid w:val="00AC3032"/>
    <w:rsid w:val="00AC7094"/>
    <w:rsid w:val="00AD0FA0"/>
    <w:rsid w:val="00AE5302"/>
    <w:rsid w:val="00AE78C2"/>
    <w:rsid w:val="00AE7A3D"/>
    <w:rsid w:val="00B12BAB"/>
    <w:rsid w:val="00B20954"/>
    <w:rsid w:val="00B24AAC"/>
    <w:rsid w:val="00B26076"/>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3D95"/>
    <w:rsid w:val="00BC42B6"/>
    <w:rsid w:val="00BE43D7"/>
    <w:rsid w:val="00BF1795"/>
    <w:rsid w:val="00BF30C5"/>
    <w:rsid w:val="00C0654C"/>
    <w:rsid w:val="00C11283"/>
    <w:rsid w:val="00C25F9D"/>
    <w:rsid w:val="00C3000D"/>
    <w:rsid w:val="00C31E83"/>
    <w:rsid w:val="00C344AB"/>
    <w:rsid w:val="00C518C1"/>
    <w:rsid w:val="00C53751"/>
    <w:rsid w:val="00C61286"/>
    <w:rsid w:val="00C62F65"/>
    <w:rsid w:val="00C63F4F"/>
    <w:rsid w:val="00C73B74"/>
    <w:rsid w:val="00C94576"/>
    <w:rsid w:val="00C969FA"/>
    <w:rsid w:val="00C97577"/>
    <w:rsid w:val="00CA71A8"/>
    <w:rsid w:val="00CC03A7"/>
    <w:rsid w:val="00CC0937"/>
    <w:rsid w:val="00CC3E7A"/>
    <w:rsid w:val="00CD18DD"/>
    <w:rsid w:val="00CD4615"/>
    <w:rsid w:val="00CF0458"/>
    <w:rsid w:val="00CF0A1D"/>
    <w:rsid w:val="00D356EB"/>
    <w:rsid w:val="00D47FC3"/>
    <w:rsid w:val="00D553BB"/>
    <w:rsid w:val="00D56C09"/>
    <w:rsid w:val="00D64DF4"/>
    <w:rsid w:val="00D65F02"/>
    <w:rsid w:val="00D75B84"/>
    <w:rsid w:val="00D75FF8"/>
    <w:rsid w:val="00D81689"/>
    <w:rsid w:val="00D86CC5"/>
    <w:rsid w:val="00D968DA"/>
    <w:rsid w:val="00D96C1E"/>
    <w:rsid w:val="00DA1CC6"/>
    <w:rsid w:val="00DA73A0"/>
    <w:rsid w:val="00DB23D4"/>
    <w:rsid w:val="00DB63D4"/>
    <w:rsid w:val="00DB6E63"/>
    <w:rsid w:val="00DC15D9"/>
    <w:rsid w:val="00DD69AE"/>
    <w:rsid w:val="00DE2B7A"/>
    <w:rsid w:val="00DF4FCD"/>
    <w:rsid w:val="00DF7C07"/>
    <w:rsid w:val="00E36AF7"/>
    <w:rsid w:val="00E4755D"/>
    <w:rsid w:val="00E500F9"/>
    <w:rsid w:val="00E641DE"/>
    <w:rsid w:val="00E6424E"/>
    <w:rsid w:val="00EA6B77"/>
    <w:rsid w:val="00EB33FD"/>
    <w:rsid w:val="00EC194E"/>
    <w:rsid w:val="00EC24F2"/>
    <w:rsid w:val="00EC38F4"/>
    <w:rsid w:val="00EC63A4"/>
    <w:rsid w:val="00EC7B24"/>
    <w:rsid w:val="00ED0D58"/>
    <w:rsid w:val="00ED1712"/>
    <w:rsid w:val="00F034A6"/>
    <w:rsid w:val="00F15B95"/>
    <w:rsid w:val="00F3256C"/>
    <w:rsid w:val="00F32980"/>
    <w:rsid w:val="00F33C92"/>
    <w:rsid w:val="00F352C9"/>
    <w:rsid w:val="00F409A9"/>
    <w:rsid w:val="00F42F5D"/>
    <w:rsid w:val="00F50687"/>
    <w:rsid w:val="00F62BE0"/>
    <w:rsid w:val="00F64260"/>
    <w:rsid w:val="00F8288D"/>
    <w:rsid w:val="00F84B65"/>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0D"/>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apple-converted-space">
    <w:name w:val="apple-converted-space"/>
    <w:basedOn w:val="DefaultParagraphFont"/>
    <w:rsid w:val="0020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371">
      <w:bodyDiv w:val="1"/>
      <w:marLeft w:val="0"/>
      <w:marRight w:val="0"/>
      <w:marTop w:val="0"/>
      <w:marBottom w:val="0"/>
      <w:divBdr>
        <w:top w:val="none" w:sz="0" w:space="0" w:color="auto"/>
        <w:left w:val="none" w:sz="0" w:space="0" w:color="auto"/>
        <w:bottom w:val="none" w:sz="0" w:space="0" w:color="auto"/>
        <w:right w:val="none" w:sz="0" w:space="0" w:color="auto"/>
      </w:divBdr>
    </w:div>
    <w:div w:id="713580367">
      <w:bodyDiv w:val="1"/>
      <w:marLeft w:val="0"/>
      <w:marRight w:val="0"/>
      <w:marTop w:val="0"/>
      <w:marBottom w:val="0"/>
      <w:divBdr>
        <w:top w:val="none" w:sz="0" w:space="0" w:color="auto"/>
        <w:left w:val="none" w:sz="0" w:space="0" w:color="auto"/>
        <w:bottom w:val="none" w:sz="0" w:space="0" w:color="auto"/>
        <w:right w:val="none" w:sz="0" w:space="0" w:color="auto"/>
      </w:divBdr>
    </w:div>
    <w:div w:id="1190948350">
      <w:bodyDiv w:val="1"/>
      <w:marLeft w:val="0"/>
      <w:marRight w:val="0"/>
      <w:marTop w:val="0"/>
      <w:marBottom w:val="0"/>
      <w:divBdr>
        <w:top w:val="none" w:sz="0" w:space="0" w:color="auto"/>
        <w:left w:val="none" w:sz="0" w:space="0" w:color="auto"/>
        <w:bottom w:val="none" w:sz="0" w:space="0" w:color="auto"/>
        <w:right w:val="none" w:sz="0" w:space="0" w:color="auto"/>
      </w:divBdr>
    </w:div>
    <w:div w:id="1542476475">
      <w:bodyDiv w:val="1"/>
      <w:marLeft w:val="0"/>
      <w:marRight w:val="0"/>
      <w:marTop w:val="0"/>
      <w:marBottom w:val="0"/>
      <w:divBdr>
        <w:top w:val="none" w:sz="0" w:space="0" w:color="auto"/>
        <w:left w:val="none" w:sz="0" w:space="0" w:color="auto"/>
        <w:bottom w:val="none" w:sz="0" w:space="0" w:color="auto"/>
        <w:right w:val="none" w:sz="0" w:space="0" w:color="auto"/>
      </w:divBdr>
    </w:div>
    <w:div w:id="1695111385">
      <w:bodyDiv w:val="1"/>
      <w:marLeft w:val="0"/>
      <w:marRight w:val="0"/>
      <w:marTop w:val="0"/>
      <w:marBottom w:val="0"/>
      <w:divBdr>
        <w:top w:val="none" w:sz="0" w:space="0" w:color="auto"/>
        <w:left w:val="none" w:sz="0" w:space="0" w:color="auto"/>
        <w:bottom w:val="none" w:sz="0" w:space="0" w:color="auto"/>
        <w:right w:val="none" w:sz="0" w:space="0" w:color="auto"/>
      </w:divBdr>
    </w:div>
    <w:div w:id="183514222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Check%20relevant%20JAAs,%202+2s,%20and%20if%20a%20course%20you%20are%20revising%20or%20deleting%20is%20one%20with%20a%20transfer%20agreemen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67Z3ZXSPZZWZ-949-1350</_dlc_DocId>
    <_dlc_DocIdUrl xmlns="67887a43-7e4d-4c1c-91d7-15e417b1b8ab">
      <Url>https://w3.ric.edu/curriculum_committee/_layouts/15/DocIdRedir.aspx?ID=67Z3ZXSPZZWZ-949-1350</Url>
      <Description>67Z3ZXSPZZWZ-949-1350</Description>
    </_dlc_DocIdUrl>
  </documentManagement>
</p:properties>
</file>

<file path=customXml/itemProps1.xml><?xml version="1.0" encoding="utf-8"?>
<ds:datastoreItem xmlns:ds="http://schemas.openxmlformats.org/officeDocument/2006/customXml" ds:itemID="{0A387CB3-3F86-4E97-A366-62797538D814}"/>
</file>

<file path=customXml/itemProps2.xml><?xml version="1.0" encoding="utf-8"?>
<ds:datastoreItem xmlns:ds="http://schemas.openxmlformats.org/officeDocument/2006/customXml" ds:itemID="{E311EFFF-FD9D-4DBC-964F-5510A7B19CCB}"/>
</file>

<file path=customXml/itemProps3.xml><?xml version="1.0" encoding="utf-8"?>
<ds:datastoreItem xmlns:ds="http://schemas.openxmlformats.org/officeDocument/2006/customXml" ds:itemID="{1CB864F7-E4B5-425D-B9D3-F02BF62D62C1}"/>
</file>

<file path=customXml/itemProps4.xml><?xml version="1.0" encoding="utf-8"?>
<ds:datastoreItem xmlns:ds="http://schemas.openxmlformats.org/officeDocument/2006/customXml" ds:itemID="{9C48D95A-7AE2-4346-AAF5-0DC8A451C58F}"/>
</file>

<file path=docProps/app.xml><?xml version="1.0" encoding="utf-8"?>
<Properties xmlns="http://schemas.openxmlformats.org/officeDocument/2006/extended-properties" xmlns:vt="http://schemas.openxmlformats.org/officeDocument/2006/docPropsVTypes">
  <Template>Normal.dotm</Template>
  <TotalTime>195</TotalTime>
  <Pages>5</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36</cp:revision>
  <cp:lastPrinted>2022-04-24T04:57:00Z</cp:lastPrinted>
  <dcterms:created xsi:type="dcterms:W3CDTF">2021-05-04T20:15:00Z</dcterms:created>
  <dcterms:modified xsi:type="dcterms:W3CDTF">2022-04-29T13:27:00Z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693341ea-08c6-4f43-ad73-f82b99fa3762</vt:lpwstr>
  </property>
</Properties>
</file>