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FFE3A10" w:rsidR="00F64260" w:rsidRPr="00A83A6C" w:rsidRDefault="005520EA" w:rsidP="00B862BF">
            <w:pPr>
              <w:pStyle w:val="Heading5"/>
              <w:rPr>
                <w:b/>
              </w:rPr>
            </w:pPr>
            <w:bookmarkStart w:id="0" w:name="Proposal"/>
            <w:bookmarkEnd w:id="0"/>
            <w:r>
              <w:rPr>
                <w:b/>
              </w:rPr>
              <w:t>Math 300W: Bridge to Advanced Mathematics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780D7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706735E"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1BE0D4B"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62C800E" w:rsidR="00F64260" w:rsidRPr="00B605CE" w:rsidRDefault="005520EA" w:rsidP="00B862BF">
            <w:pPr>
              <w:rPr>
                <w:b/>
              </w:rPr>
            </w:pPr>
            <w:bookmarkStart w:id="6" w:name="Originator"/>
            <w:bookmarkEnd w:id="6"/>
            <w:r>
              <w:rPr>
                <w:b/>
              </w:rPr>
              <w:t>Mark Medwid</w:t>
            </w:r>
          </w:p>
        </w:tc>
        <w:tc>
          <w:tcPr>
            <w:tcW w:w="1210" w:type="pct"/>
          </w:tcPr>
          <w:p w14:paraId="788D9512" w14:textId="19B60691" w:rsidR="00F64260" w:rsidRPr="00946B20" w:rsidRDefault="00780D7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F4C7D2" w:rsidR="00F64260" w:rsidRPr="00B605CE" w:rsidRDefault="005520EA" w:rsidP="00B862BF">
            <w:pPr>
              <w:rPr>
                <w:b/>
              </w:rPr>
            </w:pPr>
            <w:bookmarkStart w:id="7" w:name="home_dept"/>
            <w:bookmarkEnd w:id="7"/>
            <w:r>
              <w:rPr>
                <w:b/>
              </w:rPr>
              <w:t>Mathematical Sciences</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57135997" w:rsidR="00F64260" w:rsidRDefault="005520EA" w:rsidP="00FA6998">
            <w:pPr>
              <w:rPr>
                <w:b/>
              </w:rPr>
            </w:pPr>
            <w:bookmarkStart w:id="8" w:name="Rationale"/>
            <w:bookmarkEnd w:id="8"/>
            <w:r>
              <w:rPr>
                <w:b/>
              </w:rPr>
              <w:t xml:space="preserve">This is a revision to the course MATH 300W in which we adjust the list of prerequisites for the course. Specifically, we wish to change the requirement of MATH 213 (Calculus II) to MATH 212 (Calculus I). </w:t>
            </w:r>
          </w:p>
          <w:p w14:paraId="4D4A7206" w14:textId="77777777" w:rsidR="00F64260" w:rsidRDefault="00F64260">
            <w:pPr>
              <w:spacing w:line="240" w:lineRule="auto"/>
              <w:rPr>
                <w:b/>
              </w:rPr>
            </w:pPr>
          </w:p>
          <w:p w14:paraId="2CAE390D" w14:textId="24E57328" w:rsidR="00F64260" w:rsidRDefault="005520EA">
            <w:pPr>
              <w:spacing w:line="240" w:lineRule="auto"/>
              <w:rPr>
                <w:b/>
              </w:rPr>
            </w:pPr>
            <w:r>
              <w:rPr>
                <w:b/>
              </w:rPr>
              <w:t>MATH 300W is a course covering the elements of deductive reasoning, symbolic logic</w:t>
            </w:r>
            <w:r w:rsidR="00AE10F2">
              <w:rPr>
                <w:b/>
              </w:rPr>
              <w:t>,</w:t>
            </w:r>
            <w:r>
              <w:rPr>
                <w:b/>
              </w:rPr>
              <w:t xml:space="preserve"> and </w:t>
            </w:r>
            <w:r w:rsidR="00AE10F2">
              <w:rPr>
                <w:b/>
              </w:rPr>
              <w:t>essential proof techniques. It is for this reason that other major courses are gated behind success in MATH 300W.  However, the timing of course offerings can make for an awkward waiting period between completion of MATH 213 and beginning MATH 300W. Ideally, a new mathematics major takes MATH 212 their first</w:t>
            </w:r>
            <w:r w:rsidR="00F33C85">
              <w:rPr>
                <w:b/>
              </w:rPr>
              <w:t xml:space="preserve"> (fall)</w:t>
            </w:r>
            <w:r w:rsidR="00AE10F2">
              <w:rPr>
                <w:b/>
              </w:rPr>
              <w:t xml:space="preserve"> semester and then takes MATH 213 the following </w:t>
            </w:r>
            <w:r w:rsidR="00F33C85">
              <w:rPr>
                <w:b/>
              </w:rPr>
              <w:t xml:space="preserve">(spring) </w:t>
            </w:r>
            <w:r w:rsidR="00AE10F2">
              <w:rPr>
                <w:b/>
              </w:rPr>
              <w:t>semester. Since MATH 300W is offered in the spring,</w:t>
            </w:r>
            <w:r w:rsidR="00BC4621">
              <w:rPr>
                <w:b/>
              </w:rPr>
              <w:t xml:space="preserve"> students succeeding in MATH 213 have no choice but to wait until their following year to begin MATH 300W. </w:t>
            </w:r>
          </w:p>
          <w:p w14:paraId="32CF7281" w14:textId="77777777" w:rsidR="00F64260" w:rsidRDefault="00F64260">
            <w:pPr>
              <w:spacing w:line="240" w:lineRule="auto"/>
              <w:rPr>
                <w:b/>
              </w:rPr>
            </w:pPr>
          </w:p>
          <w:p w14:paraId="5AB3FF48" w14:textId="18D5CE07" w:rsidR="005E6499" w:rsidRDefault="00BC4621">
            <w:pPr>
              <w:spacing w:line="240" w:lineRule="auto"/>
              <w:rPr>
                <w:b/>
              </w:rPr>
            </w:pPr>
            <w:r>
              <w:rPr>
                <w:b/>
              </w:rPr>
              <w:t>Calculus content, especially that of MATH 213, is barely present in MATH 300W, if at all. The reasoning for requiring MATH 213 was that the students have more “mathematical maturity” after MATH 213 than they do after MATH 212. This is certainly true</w:t>
            </w:r>
            <w:r w:rsidR="005E6499">
              <w:rPr>
                <w:b/>
              </w:rPr>
              <w:t xml:space="preserve"> to an extent</w:t>
            </w:r>
            <w:r>
              <w:rPr>
                <w:b/>
              </w:rPr>
              <w:t xml:space="preserve">, but </w:t>
            </w:r>
            <w:r w:rsidR="005E6499">
              <w:rPr>
                <w:b/>
              </w:rPr>
              <w:t xml:space="preserve">the gains in students’ mathematical maturity post-MATH 213 pale in comparison to the gains post-MATH 300W. </w:t>
            </w:r>
            <w:r w:rsidR="00F33C85">
              <w:rPr>
                <w:b/>
              </w:rPr>
              <w:t>Furthermore, c</w:t>
            </w:r>
            <w:r w:rsidR="005E6499">
              <w:rPr>
                <w:b/>
              </w:rPr>
              <w:t xml:space="preserve">hanging the requirement would allow a new mathematics major to take both MATH 213 and MATH 300W simultaneously, and there are topics at the end of MATH 213 that will be significantly better understood if the students have a </w:t>
            </w:r>
            <w:r w:rsidR="00F33C85">
              <w:rPr>
                <w:b/>
              </w:rPr>
              <w:t>developing</w:t>
            </w:r>
            <w:r w:rsidR="005E6499">
              <w:rPr>
                <w:b/>
              </w:rPr>
              <w:t xml:space="preserve"> background in mathematical proof. </w:t>
            </w:r>
          </w:p>
          <w:p w14:paraId="41EFFC68" w14:textId="77777777" w:rsidR="00F64260" w:rsidRPr="00FA6998" w:rsidRDefault="00F64260" w:rsidP="00535F06">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575C0E3B" w:rsidR="00517DB2" w:rsidRPr="00B649C4" w:rsidRDefault="00535F06" w:rsidP="00535F06">
            <w:pPr>
              <w:spacing w:line="240" w:lineRule="auto"/>
              <w:rPr>
                <w:b/>
              </w:rPr>
            </w:pPr>
            <w:bookmarkStart w:id="9" w:name="student_impact"/>
            <w:bookmarkEnd w:id="9"/>
            <w:r>
              <w:rPr>
                <w:b/>
              </w:rPr>
              <w:t>Being able to introduce a key course in a student’s first year as a mathematics major will open their course options as well as enhance their understanding of other elective mathematics courses for which MATH 300W is not a formal prerequisite (e.g., MATH 431-Number Theory and MATH 436-Discrete Mathematics).</w:t>
            </w:r>
          </w:p>
        </w:tc>
      </w:tr>
      <w:tr w:rsidR="00517DB2" w:rsidRPr="006E3AF2" w14:paraId="7D9FD828" w14:textId="77777777" w:rsidTr="00517DB2">
        <w:tc>
          <w:tcPr>
            <w:tcW w:w="1111" w:type="pct"/>
            <w:vAlign w:val="center"/>
          </w:tcPr>
          <w:p w14:paraId="06D8C9D5" w14:textId="4E51CBDA" w:rsidR="00517DB2" w:rsidRPr="00B649C4" w:rsidRDefault="008D52B7" w:rsidP="008D52B7">
            <w:r>
              <w:lastRenderedPageBreak/>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3D3B918" w:rsidR="00517DB2" w:rsidRPr="00B649C4" w:rsidRDefault="00FD594C" w:rsidP="00517DB2">
            <w:pPr>
              <w:rPr>
                <w:b/>
              </w:rPr>
            </w:pPr>
            <w:bookmarkStart w:id="10" w:name="prog_impact"/>
            <w:bookmarkEnd w:id="10"/>
            <w:r>
              <w:rPr>
                <w:b/>
              </w:rPr>
              <w:t>Students taking MATH 300W in Educational Studies may be able to take it earlier with this new prerequisite and will need to update their Academic Rhode Maps.</w:t>
            </w:r>
          </w:p>
        </w:tc>
      </w:tr>
      <w:tr w:rsidR="004D180F" w:rsidRPr="006E3AF2" w14:paraId="38118792" w14:textId="77777777" w:rsidTr="00517DB2">
        <w:tc>
          <w:tcPr>
            <w:tcW w:w="1111" w:type="pct"/>
            <w:vAlign w:val="center"/>
          </w:tcPr>
          <w:p w14:paraId="5701FF94" w14:textId="185DD03E"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28B7C274" w:rsidR="004D180F" w:rsidRPr="00B649C4" w:rsidRDefault="00535F06" w:rsidP="00517DB2">
            <w:pPr>
              <w:rPr>
                <w:b/>
              </w:rPr>
            </w:pPr>
            <w:r>
              <w:rPr>
                <w:b/>
              </w:rPr>
              <w:t>No impact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80D7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B322FF8" w:rsidR="008D52B7" w:rsidRPr="00C25F9D" w:rsidRDefault="00535F0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80D7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5CA5BA4" w:rsidR="008D52B7" w:rsidRPr="00C25F9D" w:rsidRDefault="00535F0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80D7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E63CB7B" w:rsidR="008D52B7" w:rsidRPr="00C25F9D" w:rsidRDefault="00535F0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80D7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2536C4" w:rsidR="008D52B7" w:rsidRPr="00C25F9D" w:rsidRDefault="00535F0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AAFDEF7" w:rsidR="00F64260" w:rsidRPr="00B605CE" w:rsidRDefault="00535F06" w:rsidP="00B862BF">
            <w:pPr>
              <w:rPr>
                <w:b/>
              </w:rPr>
            </w:pPr>
            <w:bookmarkStart w:id="11" w:name="date_submitted"/>
            <w:bookmarkEnd w:id="11"/>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51F9FCC" w:rsidR="00F64260" w:rsidRPr="009F029C" w:rsidRDefault="00B25042" w:rsidP="001429AA">
            <w:pPr>
              <w:spacing w:line="240" w:lineRule="auto"/>
              <w:rPr>
                <w:b/>
              </w:rPr>
            </w:pPr>
            <w:bookmarkStart w:id="13" w:name="cours_title"/>
            <w:bookmarkEnd w:id="13"/>
            <w:r>
              <w:rPr>
                <w:b/>
              </w:rPr>
              <w:t>MATH 300W</w:t>
            </w:r>
          </w:p>
        </w:tc>
        <w:tc>
          <w:tcPr>
            <w:tcW w:w="3840" w:type="dxa"/>
            <w:noWrap/>
          </w:tcPr>
          <w:p w14:paraId="6540064C" w14:textId="04867B18" w:rsidR="00F64260" w:rsidRPr="009F029C" w:rsidRDefault="00B25042" w:rsidP="001429AA">
            <w:pPr>
              <w:spacing w:line="240" w:lineRule="auto"/>
              <w:rPr>
                <w:b/>
              </w:rPr>
            </w:pPr>
            <w:r>
              <w:rPr>
                <w:b/>
              </w:rPr>
              <w:t>MATH 300W</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1D9A10EC" w:rsidR="00F64260" w:rsidRPr="009F029C" w:rsidRDefault="00B25042" w:rsidP="001429AA">
            <w:pPr>
              <w:spacing w:line="240" w:lineRule="auto"/>
              <w:rPr>
                <w:b/>
              </w:rPr>
            </w:pPr>
            <w:bookmarkStart w:id="14" w:name="title"/>
            <w:bookmarkEnd w:id="14"/>
            <w:r>
              <w:rPr>
                <w:b/>
              </w:rPr>
              <w:t>Bridge to Advanced Mathematics</w:t>
            </w:r>
          </w:p>
        </w:tc>
        <w:tc>
          <w:tcPr>
            <w:tcW w:w="3840" w:type="dxa"/>
            <w:noWrap/>
          </w:tcPr>
          <w:p w14:paraId="2B9DB727" w14:textId="75A65A05" w:rsidR="00F64260" w:rsidRPr="009F029C" w:rsidRDefault="00B25042" w:rsidP="001429AA">
            <w:pPr>
              <w:spacing w:line="240" w:lineRule="auto"/>
              <w:rPr>
                <w:b/>
              </w:rPr>
            </w:pPr>
            <w:r>
              <w:rPr>
                <w:b/>
              </w:rPr>
              <w:t>Bridge to Advanced Mathematics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6CE8260F" w:rsidR="00F64260" w:rsidRPr="009F029C" w:rsidRDefault="00B25042" w:rsidP="001429AA">
            <w:pPr>
              <w:spacing w:line="240" w:lineRule="auto"/>
              <w:rPr>
                <w:b/>
              </w:rPr>
            </w:pPr>
            <w:bookmarkStart w:id="16" w:name="prereqs"/>
            <w:bookmarkEnd w:id="16"/>
            <w:r>
              <w:rPr>
                <w:b/>
              </w:rPr>
              <w:t>MATH 21</w:t>
            </w:r>
            <w:r w:rsidR="00CA0C0B">
              <w:rPr>
                <w:b/>
              </w:rPr>
              <w:t>3 or consent of department chair</w:t>
            </w:r>
          </w:p>
        </w:tc>
        <w:tc>
          <w:tcPr>
            <w:tcW w:w="3840" w:type="dxa"/>
            <w:noWrap/>
          </w:tcPr>
          <w:p w14:paraId="4DA91B44" w14:textId="69326710" w:rsidR="00F64260" w:rsidRPr="009F029C" w:rsidRDefault="00B25042" w:rsidP="001429AA">
            <w:pPr>
              <w:spacing w:line="240" w:lineRule="auto"/>
              <w:rPr>
                <w:b/>
              </w:rPr>
            </w:pPr>
            <w:r>
              <w:rPr>
                <w:b/>
              </w:rPr>
              <w:t>MATH 21</w:t>
            </w:r>
            <w:r w:rsidR="00CA0C0B">
              <w:rPr>
                <w:b/>
              </w:rPr>
              <w:t>2 or consent of department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0552741A" w:rsidR="00F64260" w:rsidRPr="009F029C" w:rsidRDefault="00F64260" w:rsidP="00B25042">
            <w:pPr>
              <w:spacing w:line="240" w:lineRule="auto"/>
              <w:rPr>
                <w:b/>
                <w:sz w:val="20"/>
              </w:rPr>
            </w:pPr>
          </w:p>
        </w:tc>
        <w:tc>
          <w:tcPr>
            <w:tcW w:w="3840" w:type="dxa"/>
            <w:noWrap/>
          </w:tcPr>
          <w:p w14:paraId="67D1137F" w14:textId="2257BFC1"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5EBE9AF5"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487BC74C" w:rsidR="00F64260" w:rsidRPr="006E3AF2" w:rsidRDefault="004313E6" w:rsidP="00013152">
            <w:pPr>
              <w:spacing w:line="240" w:lineRule="auto"/>
            </w:pPr>
            <w:r>
              <w:t>B.10</w:t>
            </w:r>
            <w:r w:rsidR="00F64260">
              <w:t xml:space="preserve">. </w:t>
            </w:r>
            <w:hyperlink w:anchor="grading" w:tooltip="Select one, and delete the others. Letter grades affect GPA the others do not, but if passed will give academic credit. CR/NCR is used for courses numbered 000-009." w:history="1">
              <w:r w:rsidR="00F64260" w:rsidRPr="0071544D">
                <w:rPr>
                  <w:rStyle w:val="Hyperlink"/>
                </w:rPr>
                <w:t>Grading system</w:t>
              </w:r>
            </w:hyperlink>
            <w:r w:rsidR="00F64260" w:rsidRPr="006E3AF2">
              <w:t xml:space="preserve"> </w:t>
            </w:r>
          </w:p>
        </w:tc>
        <w:tc>
          <w:tcPr>
            <w:tcW w:w="3840" w:type="dxa"/>
            <w:noWrap/>
          </w:tcPr>
          <w:p w14:paraId="54A0840F" w14:textId="457088E7" w:rsidR="00F64260" w:rsidRPr="009F029C" w:rsidRDefault="00F64260" w:rsidP="001429AA">
            <w:pPr>
              <w:spacing w:line="240" w:lineRule="auto"/>
              <w:rPr>
                <w:b/>
                <w:sz w:val="20"/>
              </w:rPr>
            </w:pPr>
          </w:p>
        </w:tc>
        <w:tc>
          <w:tcPr>
            <w:tcW w:w="3840" w:type="dxa"/>
            <w:noWrap/>
          </w:tcPr>
          <w:p w14:paraId="2CF717EE" w14:textId="6D67E2B1"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165C839A" w:rsidR="00F64260" w:rsidRPr="009F029C" w:rsidRDefault="00F64260" w:rsidP="006B20A9">
            <w:pPr>
              <w:spacing w:line="240" w:lineRule="auto"/>
              <w:rPr>
                <w:b/>
                <w:sz w:val="20"/>
              </w:rPr>
            </w:pPr>
            <w:bookmarkStart w:id="20" w:name="instr_methods"/>
            <w:bookmarkEnd w:id="20"/>
          </w:p>
        </w:tc>
        <w:tc>
          <w:tcPr>
            <w:tcW w:w="3840" w:type="dxa"/>
            <w:noWrap/>
          </w:tcPr>
          <w:p w14:paraId="27D66483" w14:textId="0940CF47"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2A7126AA" w:rsidR="005E2D3D" w:rsidRPr="009F029C" w:rsidRDefault="005E2D3D" w:rsidP="005E2D3D">
            <w:pPr>
              <w:spacing w:line="240" w:lineRule="auto"/>
              <w:rPr>
                <w:b/>
                <w:sz w:val="20"/>
              </w:rPr>
            </w:pPr>
          </w:p>
        </w:tc>
        <w:tc>
          <w:tcPr>
            <w:tcW w:w="3840" w:type="dxa"/>
            <w:noWrap/>
          </w:tcPr>
          <w:p w14:paraId="50180751" w14:textId="21B6588D"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62923DC7" w:rsidR="00F64260" w:rsidRPr="009F029C" w:rsidRDefault="00F64260" w:rsidP="00A87611">
            <w:pPr>
              <w:spacing w:line="240" w:lineRule="auto"/>
              <w:rPr>
                <w:b/>
                <w:sz w:val="20"/>
              </w:rPr>
            </w:pPr>
            <w:bookmarkStart w:id="21" w:name="required"/>
            <w:bookmarkEnd w:id="21"/>
          </w:p>
        </w:tc>
        <w:tc>
          <w:tcPr>
            <w:tcW w:w="3840" w:type="dxa"/>
            <w:noWrap/>
          </w:tcPr>
          <w:p w14:paraId="442E5788" w14:textId="7631763F"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2B81431" w:rsidR="00F64260" w:rsidRPr="009F029C" w:rsidRDefault="00F64260" w:rsidP="001429AA">
            <w:pPr>
              <w:spacing w:line="240" w:lineRule="auto"/>
              <w:rPr>
                <w:b/>
              </w:rPr>
            </w:pPr>
          </w:p>
        </w:tc>
        <w:tc>
          <w:tcPr>
            <w:tcW w:w="3840" w:type="dxa"/>
            <w:noWrap/>
          </w:tcPr>
          <w:p w14:paraId="41CF798F" w14:textId="1F58F4E7"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12D6CB3E" w:rsidR="00F64260" w:rsidRPr="009F029C" w:rsidRDefault="00F64260" w:rsidP="001A51ED">
            <w:pPr>
              <w:rPr>
                <w:b/>
                <w:sz w:val="20"/>
              </w:rPr>
            </w:pPr>
            <w:bookmarkStart w:id="22" w:name="ge"/>
            <w:bookmarkEnd w:id="22"/>
          </w:p>
        </w:tc>
        <w:tc>
          <w:tcPr>
            <w:tcW w:w="3840" w:type="dxa"/>
            <w:noWrap/>
          </w:tcPr>
          <w:p w14:paraId="45B135E3" w14:textId="5AEB6036"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lastRenderedPageBreak/>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07990DD1" w:rsidR="00CF0A1D" w:rsidRDefault="00CF0A1D" w:rsidP="001A51ED">
            <w:pPr>
              <w:rPr>
                <w:b/>
              </w:rPr>
            </w:pPr>
          </w:p>
        </w:tc>
        <w:tc>
          <w:tcPr>
            <w:tcW w:w="3840" w:type="dxa"/>
            <w:noWrap/>
          </w:tcPr>
          <w:p w14:paraId="10B541DA" w14:textId="553FB1E9"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BED9AA5" w:rsidR="00F64260" w:rsidRPr="009F029C" w:rsidRDefault="00F64260" w:rsidP="0027634D">
            <w:pPr>
              <w:spacing w:line="240" w:lineRule="auto"/>
              <w:rPr>
                <w:b/>
                <w:sz w:val="20"/>
              </w:rPr>
            </w:pPr>
            <w:bookmarkStart w:id="23" w:name="performance"/>
            <w:bookmarkEnd w:id="23"/>
          </w:p>
        </w:tc>
        <w:tc>
          <w:tcPr>
            <w:tcW w:w="3840" w:type="dxa"/>
            <w:noWrap/>
          </w:tcPr>
          <w:p w14:paraId="33AC4615" w14:textId="2AC9D498"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47488FD6" w:rsidR="00F64260" w:rsidRPr="009F029C" w:rsidRDefault="00786350" w:rsidP="001429AA">
            <w:pPr>
              <w:spacing w:line="240" w:lineRule="auto"/>
              <w:rPr>
                <w:rStyle w:val="TEXT"/>
              </w:rPr>
            </w:pPr>
            <w:r>
              <w:rPr>
                <w:rStyle w:val="TEXT"/>
              </w:rPr>
              <w:t>Not that on the catalog copy there is a reference to MATH 300 as a prerequisite for MATH 315—this should be MATH 300 or MATH 300W to allow Records to keep track.</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80D7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780D7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227CB67" w:rsidR="00F64260" w:rsidRDefault="00F64260"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173BA137" w:rsidR="00F64260" w:rsidRDefault="00CA0C0B" w:rsidP="000556B3">
            <w:pPr>
              <w:pStyle w:val="ListParagraph"/>
              <w:numPr>
                <w:ilvl w:val="0"/>
                <w:numId w:val="8"/>
              </w:numPr>
              <w:spacing w:line="240" w:lineRule="auto"/>
            </w:pPr>
            <w:bookmarkStart w:id="27" w:name="outline"/>
            <w:bookmarkEnd w:id="27"/>
            <w:r>
              <w:t>Sentential &amp; Quantificational Logic</w:t>
            </w:r>
          </w:p>
          <w:p w14:paraId="51EEF067" w14:textId="63172A3E" w:rsidR="00F64260" w:rsidRDefault="00CA0C0B" w:rsidP="000556B3">
            <w:pPr>
              <w:pStyle w:val="ListParagraph"/>
              <w:numPr>
                <w:ilvl w:val="1"/>
                <w:numId w:val="8"/>
              </w:numPr>
              <w:spacing w:line="240" w:lineRule="auto"/>
            </w:pPr>
            <w:r>
              <w:t>Symbolic logical statements</w:t>
            </w:r>
          </w:p>
          <w:p w14:paraId="39516952" w14:textId="0436F54D" w:rsidR="005E2D3D" w:rsidRDefault="00CA0C0B" w:rsidP="00115A68">
            <w:pPr>
              <w:pStyle w:val="ListParagraph"/>
              <w:numPr>
                <w:ilvl w:val="1"/>
                <w:numId w:val="8"/>
              </w:numPr>
              <w:spacing w:line="240" w:lineRule="auto"/>
            </w:pPr>
            <w:r>
              <w:t>Logical operators (conjunction, disjunction, negation)</w:t>
            </w:r>
          </w:p>
          <w:p w14:paraId="29AD88B6" w14:textId="3A222099" w:rsidR="00115A68" w:rsidRDefault="00CA0C0B" w:rsidP="00115A68">
            <w:pPr>
              <w:pStyle w:val="ListParagraph"/>
              <w:numPr>
                <w:ilvl w:val="1"/>
                <w:numId w:val="8"/>
              </w:numPr>
              <w:spacing w:line="240" w:lineRule="auto"/>
            </w:pPr>
            <w:r>
              <w:t>Truth tables</w:t>
            </w:r>
          </w:p>
          <w:p w14:paraId="4A495A9C" w14:textId="4F00AFD6" w:rsidR="00CA0C0B" w:rsidRDefault="00CA0C0B" w:rsidP="00115A68">
            <w:pPr>
              <w:pStyle w:val="ListParagraph"/>
              <w:numPr>
                <w:ilvl w:val="1"/>
                <w:numId w:val="8"/>
              </w:numPr>
              <w:spacing w:line="240" w:lineRule="auto"/>
            </w:pPr>
            <w:r>
              <w:t>Sets / Truth sets</w:t>
            </w:r>
          </w:p>
          <w:p w14:paraId="68668014" w14:textId="7AD6BEEE" w:rsidR="00CA0C0B" w:rsidRDefault="00CA0C0B" w:rsidP="00115A68">
            <w:pPr>
              <w:pStyle w:val="ListParagraph"/>
              <w:numPr>
                <w:ilvl w:val="1"/>
                <w:numId w:val="8"/>
              </w:numPr>
              <w:spacing w:line="240" w:lineRule="auto"/>
            </w:pPr>
            <w:r>
              <w:t>Conditional and biconditional statements</w:t>
            </w:r>
          </w:p>
          <w:p w14:paraId="05EF6A73" w14:textId="78C659D0" w:rsidR="005E2D3D" w:rsidRDefault="00CA0C0B" w:rsidP="005E2D3D">
            <w:pPr>
              <w:pStyle w:val="ListParagraph"/>
              <w:numPr>
                <w:ilvl w:val="0"/>
                <w:numId w:val="8"/>
              </w:numPr>
              <w:spacing w:line="240" w:lineRule="auto"/>
            </w:pPr>
            <w:r>
              <w:t>Methods of Proof</w:t>
            </w:r>
          </w:p>
          <w:p w14:paraId="04B435F4" w14:textId="1727FDB4" w:rsidR="005E2D3D" w:rsidRDefault="00CA0C0B" w:rsidP="005E2D3D">
            <w:pPr>
              <w:pStyle w:val="ListParagraph"/>
              <w:numPr>
                <w:ilvl w:val="1"/>
                <w:numId w:val="8"/>
              </w:numPr>
              <w:spacing w:line="240" w:lineRule="auto"/>
            </w:pPr>
            <w:r>
              <w:t xml:space="preserve">Direct </w:t>
            </w:r>
            <w:r w:rsidR="003039E0">
              <w:t>p</w:t>
            </w:r>
            <w:r>
              <w:t>roof</w:t>
            </w:r>
          </w:p>
          <w:p w14:paraId="7E17254E" w14:textId="77777777" w:rsidR="005E2D3D" w:rsidRDefault="00CA0C0B" w:rsidP="005E2D3D">
            <w:pPr>
              <w:pStyle w:val="ListParagraph"/>
              <w:numPr>
                <w:ilvl w:val="1"/>
                <w:numId w:val="8"/>
              </w:numPr>
              <w:spacing w:line="240" w:lineRule="auto"/>
            </w:pPr>
            <w:r>
              <w:t>Proof by contrapositive</w:t>
            </w:r>
          </w:p>
          <w:p w14:paraId="44FBB684" w14:textId="77777777" w:rsidR="00CA0C0B" w:rsidRDefault="00CA0C0B" w:rsidP="005E2D3D">
            <w:pPr>
              <w:pStyle w:val="ListParagraph"/>
              <w:numPr>
                <w:ilvl w:val="1"/>
                <w:numId w:val="8"/>
              </w:numPr>
              <w:spacing w:line="240" w:lineRule="auto"/>
            </w:pPr>
            <w:r>
              <w:t xml:space="preserve">Proofs involving </w:t>
            </w:r>
            <w:r w:rsidR="003039E0">
              <w:t>biconditional statements</w:t>
            </w:r>
          </w:p>
          <w:p w14:paraId="27817C3F" w14:textId="77777777" w:rsidR="003039E0" w:rsidRDefault="003039E0" w:rsidP="005E2D3D">
            <w:pPr>
              <w:pStyle w:val="ListParagraph"/>
              <w:numPr>
                <w:ilvl w:val="1"/>
                <w:numId w:val="8"/>
              </w:numPr>
              <w:spacing w:line="240" w:lineRule="auto"/>
            </w:pPr>
            <w:r>
              <w:t>Proofs involving conjunction, disjunction, and negation</w:t>
            </w:r>
          </w:p>
          <w:p w14:paraId="032D2568" w14:textId="77777777" w:rsidR="003039E0" w:rsidRDefault="003039E0" w:rsidP="005E2D3D">
            <w:pPr>
              <w:pStyle w:val="ListParagraph"/>
              <w:numPr>
                <w:ilvl w:val="1"/>
                <w:numId w:val="8"/>
              </w:numPr>
              <w:spacing w:line="240" w:lineRule="auto"/>
            </w:pPr>
            <w:r>
              <w:t>Proof by contradiction</w:t>
            </w:r>
          </w:p>
          <w:p w14:paraId="4E0FE6DD" w14:textId="77777777" w:rsidR="003039E0" w:rsidRDefault="003039E0" w:rsidP="005E2D3D">
            <w:pPr>
              <w:pStyle w:val="ListParagraph"/>
              <w:numPr>
                <w:ilvl w:val="1"/>
                <w:numId w:val="8"/>
              </w:numPr>
              <w:spacing w:line="240" w:lineRule="auto"/>
            </w:pPr>
            <w:r>
              <w:t>Existence and uniqueness proofs</w:t>
            </w:r>
          </w:p>
          <w:p w14:paraId="7A8F1578" w14:textId="6D91B3C7" w:rsidR="003039E0" w:rsidRDefault="003039E0" w:rsidP="005E2D3D">
            <w:pPr>
              <w:pStyle w:val="ListParagraph"/>
              <w:numPr>
                <w:ilvl w:val="1"/>
                <w:numId w:val="8"/>
              </w:numPr>
              <w:spacing w:line="240" w:lineRule="auto"/>
            </w:pPr>
            <w:r>
              <w:t>Set</w:t>
            </w:r>
            <w:r w:rsidR="002737DE">
              <w:t>-</w:t>
            </w:r>
            <w:r>
              <w:t>theoretic or “element</w:t>
            </w:r>
            <w:r w:rsidR="002737DE">
              <w:t>-</w:t>
            </w:r>
            <w:r>
              <w:t>chasing” proofs</w:t>
            </w:r>
          </w:p>
          <w:p w14:paraId="0ED2D598" w14:textId="77777777" w:rsidR="003039E0" w:rsidRDefault="003039E0" w:rsidP="005E2D3D">
            <w:pPr>
              <w:pStyle w:val="ListParagraph"/>
              <w:numPr>
                <w:ilvl w:val="1"/>
                <w:numId w:val="8"/>
              </w:numPr>
              <w:spacing w:line="240" w:lineRule="auto"/>
            </w:pPr>
            <w:r>
              <w:t>Proof by mathematical induction</w:t>
            </w:r>
          </w:p>
          <w:p w14:paraId="16D2034C" w14:textId="77777777" w:rsidR="003039E0" w:rsidRDefault="003039E0" w:rsidP="005E2D3D">
            <w:pPr>
              <w:pStyle w:val="ListParagraph"/>
              <w:numPr>
                <w:ilvl w:val="1"/>
                <w:numId w:val="8"/>
              </w:numPr>
              <w:spacing w:line="240" w:lineRule="auto"/>
            </w:pPr>
            <w:r>
              <w:t xml:space="preserve">Classical examples of proofs (e.g., the infinitude of prime numbers or </w:t>
            </w:r>
            <w:r w:rsidR="002737DE">
              <w:t xml:space="preserve">the </w:t>
            </w:r>
            <w:r>
              <w:t xml:space="preserve">irrationality of </w:t>
            </w:r>
            <m:oMath>
              <m:rad>
                <m:radPr>
                  <m:degHide m:val="1"/>
                  <m:ctrlPr>
                    <w:rPr>
                      <w:rFonts w:ascii="Cambria Math" w:hAnsi="Cambria Math"/>
                      <w:i/>
                    </w:rPr>
                  </m:ctrlPr>
                </m:radPr>
                <m:deg/>
                <m:e>
                  <m:r>
                    <w:rPr>
                      <w:rFonts w:ascii="Cambria Math" w:hAnsi="Cambria Math"/>
                    </w:rPr>
                    <m:t>2</m:t>
                  </m:r>
                </m:e>
              </m:rad>
            </m:oMath>
            <w:r>
              <w:t>)</w:t>
            </w:r>
          </w:p>
          <w:p w14:paraId="5DD13C31" w14:textId="33E79E71" w:rsidR="002737DE" w:rsidRDefault="002737DE" w:rsidP="002737DE">
            <w:pPr>
              <w:pStyle w:val="ListParagraph"/>
              <w:numPr>
                <w:ilvl w:val="0"/>
                <w:numId w:val="8"/>
              </w:numPr>
              <w:spacing w:line="240" w:lineRule="auto"/>
            </w:pPr>
            <w:r>
              <w:t>Mixture of elementary mathematics for proof practice, potentially including (but not limited to):</w:t>
            </w:r>
          </w:p>
          <w:p w14:paraId="47B8E1E7" w14:textId="77777777" w:rsidR="002737DE" w:rsidRDefault="002737DE" w:rsidP="002737DE">
            <w:pPr>
              <w:pStyle w:val="ListParagraph"/>
              <w:numPr>
                <w:ilvl w:val="1"/>
                <w:numId w:val="8"/>
              </w:numPr>
              <w:spacing w:line="240" w:lineRule="auto"/>
            </w:pPr>
            <w:r>
              <w:t>Set relationships</w:t>
            </w:r>
          </w:p>
          <w:p w14:paraId="79BECA17" w14:textId="77777777" w:rsidR="002737DE" w:rsidRDefault="002737DE" w:rsidP="002737DE">
            <w:pPr>
              <w:pStyle w:val="ListParagraph"/>
              <w:numPr>
                <w:ilvl w:val="1"/>
                <w:numId w:val="8"/>
              </w:numPr>
              <w:spacing w:line="240" w:lineRule="auto"/>
            </w:pPr>
            <w:r>
              <w:t>Number-theoretic statements</w:t>
            </w:r>
          </w:p>
          <w:p w14:paraId="7C1EBD33" w14:textId="07BE4B3D" w:rsidR="002737DE" w:rsidRDefault="002737DE" w:rsidP="002737DE">
            <w:pPr>
              <w:pStyle w:val="ListParagraph"/>
              <w:numPr>
                <w:ilvl w:val="1"/>
                <w:numId w:val="8"/>
              </w:numPr>
              <w:spacing w:line="240" w:lineRule="auto"/>
            </w:pPr>
            <w:r>
              <w:t>Functions/mappings</w:t>
            </w:r>
          </w:p>
          <w:p w14:paraId="2FE05E7F" w14:textId="77777777" w:rsidR="002737DE" w:rsidRDefault="002737DE" w:rsidP="002737DE">
            <w:pPr>
              <w:pStyle w:val="ListParagraph"/>
              <w:numPr>
                <w:ilvl w:val="1"/>
                <w:numId w:val="8"/>
              </w:numPr>
              <w:spacing w:line="240" w:lineRule="auto"/>
            </w:pPr>
            <w:r>
              <w:t>Inequalities</w:t>
            </w:r>
          </w:p>
          <w:p w14:paraId="6B2C7A47" w14:textId="4495CBD5" w:rsidR="002737DE" w:rsidRDefault="002737DE" w:rsidP="002737DE">
            <w:pPr>
              <w:pStyle w:val="ListParagraph"/>
              <w:numPr>
                <w:ilvl w:val="1"/>
                <w:numId w:val="8"/>
              </w:numPr>
              <w:spacing w:line="240" w:lineRule="auto"/>
            </w:pPr>
            <w:r>
              <w:t>Equivalence relations and equivalence classes</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w:t>
      </w:r>
      <w:r w:rsidRPr="00010085">
        <w:lastRenderedPageBreak/>
        <w:t>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FE3226">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FE3226">
        <w:trPr>
          <w:cantSplit/>
          <w:trHeight w:val="489"/>
        </w:trPr>
        <w:tc>
          <w:tcPr>
            <w:tcW w:w="3168" w:type="dxa"/>
            <w:vAlign w:val="center"/>
          </w:tcPr>
          <w:p w14:paraId="2B0991B7" w14:textId="1D002989" w:rsidR="00115A68" w:rsidRDefault="00FE3226" w:rsidP="0015571B">
            <w:pPr>
              <w:spacing w:line="240" w:lineRule="auto"/>
            </w:pPr>
            <w:r>
              <w:t>Rebecca Sparks</w:t>
            </w:r>
          </w:p>
        </w:tc>
        <w:tc>
          <w:tcPr>
            <w:tcW w:w="3254" w:type="dxa"/>
            <w:vAlign w:val="center"/>
          </w:tcPr>
          <w:p w14:paraId="2927DBCB" w14:textId="57F06FFD" w:rsidR="00115A68" w:rsidRDefault="00115A68" w:rsidP="0015571B">
            <w:pPr>
              <w:spacing w:line="240" w:lineRule="auto"/>
            </w:pPr>
            <w:r>
              <w:t xml:space="preserve">Chair of </w:t>
            </w:r>
            <w:r w:rsidR="00FE3226">
              <w:t>Department of Mathematical Sciences</w:t>
            </w:r>
          </w:p>
        </w:tc>
        <w:tc>
          <w:tcPr>
            <w:tcW w:w="3197" w:type="dxa"/>
            <w:vAlign w:val="center"/>
          </w:tcPr>
          <w:p w14:paraId="7927CB11" w14:textId="4BA438A4" w:rsidR="00115A68" w:rsidRDefault="00FD594C" w:rsidP="0015571B">
            <w:pPr>
              <w:spacing w:line="240" w:lineRule="auto"/>
            </w:pPr>
            <w:r>
              <w:t>*approved by e-mail</w:t>
            </w:r>
          </w:p>
        </w:tc>
        <w:tc>
          <w:tcPr>
            <w:tcW w:w="1161" w:type="dxa"/>
            <w:vAlign w:val="center"/>
          </w:tcPr>
          <w:p w14:paraId="06A64098" w14:textId="235B4FF0" w:rsidR="00115A68" w:rsidRDefault="00FD594C" w:rsidP="0015571B">
            <w:pPr>
              <w:spacing w:line="240" w:lineRule="auto"/>
            </w:pPr>
            <w:r>
              <w:t>4/12/22</w:t>
            </w:r>
          </w:p>
        </w:tc>
      </w:tr>
      <w:tr w:rsidR="00115A68" w14:paraId="5FB4CB46" w14:textId="77777777" w:rsidTr="00FE3226">
        <w:trPr>
          <w:cantSplit/>
          <w:trHeight w:val="489"/>
        </w:trPr>
        <w:tc>
          <w:tcPr>
            <w:tcW w:w="3168" w:type="dxa"/>
            <w:vAlign w:val="center"/>
          </w:tcPr>
          <w:p w14:paraId="6ED2A8A6" w14:textId="1E7E4182" w:rsidR="00115A68" w:rsidRDefault="00FE3226" w:rsidP="0015571B">
            <w:pPr>
              <w:spacing w:line="240" w:lineRule="auto"/>
            </w:pPr>
            <w:r>
              <w:t>Earl Simson</w:t>
            </w:r>
          </w:p>
        </w:tc>
        <w:tc>
          <w:tcPr>
            <w:tcW w:w="3254" w:type="dxa"/>
            <w:vAlign w:val="center"/>
          </w:tcPr>
          <w:p w14:paraId="229CC930" w14:textId="75501EE9" w:rsidR="00115A68" w:rsidRDefault="00115A68" w:rsidP="0015571B">
            <w:pPr>
              <w:spacing w:line="240" w:lineRule="auto"/>
            </w:pPr>
            <w:r>
              <w:t xml:space="preserve">Dean of </w:t>
            </w:r>
            <w:r w:rsidR="00FE3226">
              <w:t>the Faculty of Arts and Sciences</w:t>
            </w:r>
          </w:p>
        </w:tc>
        <w:tc>
          <w:tcPr>
            <w:tcW w:w="3197" w:type="dxa"/>
            <w:vAlign w:val="center"/>
          </w:tcPr>
          <w:p w14:paraId="73DF0B07" w14:textId="0F66482D" w:rsidR="00115A68" w:rsidRDefault="00AF353D" w:rsidP="0015571B">
            <w:pPr>
              <w:spacing w:line="240" w:lineRule="auto"/>
            </w:pPr>
            <w:r>
              <w:rPr>
                <w:rFonts w:ascii="Brush Script MT" w:hAnsi="Brush Script MT"/>
                <w:sz w:val="28"/>
              </w:rPr>
              <w:t>Earl Simson</w:t>
            </w:r>
          </w:p>
        </w:tc>
        <w:tc>
          <w:tcPr>
            <w:tcW w:w="1161" w:type="dxa"/>
            <w:vAlign w:val="center"/>
          </w:tcPr>
          <w:p w14:paraId="4EB70E84" w14:textId="7995BB57" w:rsidR="00115A68" w:rsidRDefault="00AF353D" w:rsidP="0015571B">
            <w:pPr>
              <w:spacing w:line="240" w:lineRule="auto"/>
            </w:pPr>
            <w:r>
              <w:t>4/14/22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8"/>
        <w:gridCol w:w="3250"/>
        <w:gridCol w:w="3195"/>
        <w:gridCol w:w="1177"/>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780D7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37CDBA37" w:rsidR="00115A68" w:rsidRDefault="00FD594C" w:rsidP="0015571B">
            <w:pPr>
              <w:spacing w:line="240" w:lineRule="auto"/>
            </w:pPr>
            <w:r>
              <w:t xml:space="preserve">Lesley </w:t>
            </w:r>
            <w:proofErr w:type="spellStart"/>
            <w:r>
              <w:t>Bogad</w:t>
            </w:r>
            <w:proofErr w:type="spellEnd"/>
          </w:p>
        </w:tc>
        <w:tc>
          <w:tcPr>
            <w:tcW w:w="3279" w:type="dxa"/>
            <w:vAlign w:val="center"/>
          </w:tcPr>
          <w:p w14:paraId="12B14668" w14:textId="567C20B8" w:rsidR="00115A68" w:rsidRDefault="00FD594C" w:rsidP="0015571B">
            <w:pPr>
              <w:spacing w:line="240" w:lineRule="auto"/>
            </w:pPr>
            <w:r>
              <w:t>Chair Educational Studies</w:t>
            </w:r>
          </w:p>
        </w:tc>
        <w:tc>
          <w:tcPr>
            <w:tcW w:w="3280" w:type="dxa"/>
            <w:vAlign w:val="center"/>
          </w:tcPr>
          <w:p w14:paraId="35E6C3B2" w14:textId="7290EAA6" w:rsidR="00115A68" w:rsidRDefault="002A0723" w:rsidP="002A0723">
            <w:pPr>
              <w:spacing w:line="240" w:lineRule="auto"/>
            </w:pPr>
            <w:r>
              <w:t>*Acknowledged by e-mail</w:t>
            </w:r>
          </w:p>
        </w:tc>
        <w:tc>
          <w:tcPr>
            <w:tcW w:w="1178" w:type="dxa"/>
            <w:vAlign w:val="center"/>
          </w:tcPr>
          <w:p w14:paraId="70EE5B2D" w14:textId="3977D1A0" w:rsidR="00115A68" w:rsidRDefault="002A0723" w:rsidP="0015571B">
            <w:pPr>
              <w:spacing w:line="240" w:lineRule="auto"/>
            </w:pPr>
            <w:r>
              <w:t>4/13/22</w:t>
            </w:r>
          </w:p>
        </w:tc>
      </w:tr>
      <w:tr w:rsidR="00115A68" w14:paraId="1CA688DC" w14:textId="77777777" w:rsidTr="0015571B">
        <w:trPr>
          <w:cantSplit/>
          <w:trHeight w:val="489"/>
        </w:trPr>
        <w:tc>
          <w:tcPr>
            <w:tcW w:w="3279" w:type="dxa"/>
            <w:vAlign w:val="center"/>
          </w:tcPr>
          <w:p w14:paraId="69BC619F" w14:textId="04B4F26B" w:rsidR="00115A68" w:rsidRDefault="00FD594C" w:rsidP="0015571B">
            <w:pPr>
              <w:spacing w:line="240" w:lineRule="auto"/>
            </w:pPr>
            <w:r>
              <w:t>Jeannine Dingus-Eason</w:t>
            </w:r>
          </w:p>
        </w:tc>
        <w:tc>
          <w:tcPr>
            <w:tcW w:w="3279" w:type="dxa"/>
            <w:vAlign w:val="center"/>
          </w:tcPr>
          <w:p w14:paraId="7AFA00B4" w14:textId="1AA57C03" w:rsidR="00115A68" w:rsidRDefault="00FD594C" w:rsidP="0015571B">
            <w:pPr>
              <w:spacing w:line="240" w:lineRule="auto"/>
            </w:pPr>
            <w:r>
              <w:t>Dean FSEHD</w:t>
            </w:r>
          </w:p>
        </w:tc>
        <w:tc>
          <w:tcPr>
            <w:tcW w:w="3280" w:type="dxa"/>
            <w:vAlign w:val="center"/>
          </w:tcPr>
          <w:p w14:paraId="63F9F878" w14:textId="2E758BFC" w:rsidR="00115A68" w:rsidRDefault="00DC5CC8" w:rsidP="0015571B">
            <w:pPr>
              <w:spacing w:line="240" w:lineRule="auto"/>
            </w:pPr>
            <w:r>
              <w:rPr>
                <w:i/>
                <w:iCs/>
              </w:rPr>
              <w:t>Jeannine E. Dingus-Eason</w:t>
            </w:r>
          </w:p>
        </w:tc>
        <w:tc>
          <w:tcPr>
            <w:tcW w:w="1178" w:type="dxa"/>
            <w:vAlign w:val="center"/>
          </w:tcPr>
          <w:p w14:paraId="07BDEFD6" w14:textId="76EFE674" w:rsidR="00115A68" w:rsidRDefault="00DC5CC8" w:rsidP="0015571B">
            <w:pPr>
              <w:spacing w:line="240" w:lineRule="auto"/>
            </w:pPr>
            <w:r>
              <w:t>5/6/2022</w:t>
            </w:r>
          </w:p>
        </w:tc>
      </w:tr>
      <w:tr w:rsidR="00115A68" w14:paraId="6F8C6D2D" w14:textId="77777777" w:rsidTr="0015571B">
        <w:trPr>
          <w:cantSplit/>
          <w:trHeight w:val="489"/>
        </w:trPr>
        <w:tc>
          <w:tcPr>
            <w:tcW w:w="3279" w:type="dxa"/>
            <w:vAlign w:val="center"/>
          </w:tcPr>
          <w:p w14:paraId="4EB93F69" w14:textId="77777777" w:rsidR="002A0723" w:rsidRPr="002A0723" w:rsidRDefault="002A0723" w:rsidP="002A0723">
            <w:pPr>
              <w:spacing w:line="240" w:lineRule="auto"/>
              <w:rPr>
                <w:rFonts w:asciiTheme="minorHAnsi" w:hAnsiTheme="minorHAnsi"/>
                <w:sz w:val="24"/>
                <w:szCs w:val="24"/>
              </w:rPr>
            </w:pPr>
            <w:r w:rsidRPr="002A0723">
              <w:rPr>
                <w:rFonts w:asciiTheme="minorHAnsi" w:hAnsiTheme="minorHAnsi" w:cs="Calibri"/>
                <w:color w:val="000000"/>
              </w:rPr>
              <w:t xml:space="preserve">Vivian La </w:t>
            </w:r>
            <w:proofErr w:type="spellStart"/>
            <w:r w:rsidRPr="002A0723">
              <w:rPr>
                <w:rFonts w:asciiTheme="minorHAnsi" w:hAnsiTheme="minorHAnsi" w:cs="Calibri"/>
                <w:color w:val="000000"/>
              </w:rPr>
              <w:t>Ferla</w:t>
            </w:r>
            <w:proofErr w:type="spellEnd"/>
          </w:p>
          <w:p w14:paraId="3BDD2887" w14:textId="77777777" w:rsidR="00115A68" w:rsidRDefault="00115A68" w:rsidP="0015571B">
            <w:pPr>
              <w:spacing w:line="240" w:lineRule="auto"/>
            </w:pPr>
          </w:p>
        </w:tc>
        <w:tc>
          <w:tcPr>
            <w:tcW w:w="3279" w:type="dxa"/>
            <w:vAlign w:val="center"/>
          </w:tcPr>
          <w:p w14:paraId="2E689D42" w14:textId="50B37941" w:rsidR="00115A68" w:rsidRDefault="002A0723" w:rsidP="0015571B">
            <w:pPr>
              <w:spacing w:line="240" w:lineRule="auto"/>
            </w:pPr>
            <w:r>
              <w:t>Coordinator MATH SED</w:t>
            </w:r>
          </w:p>
        </w:tc>
        <w:tc>
          <w:tcPr>
            <w:tcW w:w="3280" w:type="dxa"/>
            <w:vAlign w:val="center"/>
          </w:tcPr>
          <w:p w14:paraId="7E65BB20" w14:textId="7227E514" w:rsidR="00115A68" w:rsidRDefault="002A0723" w:rsidP="0015571B">
            <w:pPr>
              <w:spacing w:line="240" w:lineRule="auto"/>
            </w:pPr>
            <w:r>
              <w:t>*Acknowledged by e-mail</w:t>
            </w:r>
          </w:p>
        </w:tc>
        <w:tc>
          <w:tcPr>
            <w:tcW w:w="1178" w:type="dxa"/>
            <w:vAlign w:val="center"/>
          </w:tcPr>
          <w:p w14:paraId="1FC8A5C6" w14:textId="3B5ACFEF" w:rsidR="00115A68" w:rsidRDefault="002A0723" w:rsidP="0015571B">
            <w:pPr>
              <w:spacing w:line="240" w:lineRule="auto"/>
            </w:pPr>
            <w:r>
              <w:t>4/13/22s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64FB" w14:textId="77777777" w:rsidR="00780D75" w:rsidRDefault="00780D75" w:rsidP="00FA78CA">
      <w:pPr>
        <w:spacing w:line="240" w:lineRule="auto"/>
      </w:pPr>
      <w:r>
        <w:separator/>
      </w:r>
    </w:p>
  </w:endnote>
  <w:endnote w:type="continuationSeparator" w:id="0">
    <w:p w14:paraId="12AF21E7" w14:textId="77777777" w:rsidR="00780D75" w:rsidRDefault="00780D7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5252" w14:textId="77777777" w:rsidR="00A46C4D" w:rsidRDefault="00A46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01C7" w14:textId="77777777" w:rsidR="00A46C4D" w:rsidRDefault="00A4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C3C5" w14:textId="77777777" w:rsidR="00780D75" w:rsidRDefault="00780D75" w:rsidP="00FA78CA">
      <w:pPr>
        <w:spacing w:line="240" w:lineRule="auto"/>
      </w:pPr>
      <w:r>
        <w:separator/>
      </w:r>
    </w:p>
  </w:footnote>
  <w:footnote w:type="continuationSeparator" w:id="0">
    <w:p w14:paraId="5C44342B" w14:textId="77777777" w:rsidR="00780D75" w:rsidRDefault="00780D7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9D23" w14:textId="77777777" w:rsidR="00A46C4D" w:rsidRDefault="00A46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2A521B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D594C">
      <w:rPr>
        <w:color w:val="4F6228"/>
      </w:rPr>
      <w:t>21-22-03</w:t>
    </w:r>
    <w:r w:rsidR="00A46C4D">
      <w:rPr>
        <w:color w:val="4F6228"/>
      </w:rPr>
      <w:t>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D594C">
      <w:rPr>
        <w:color w:val="4F6228"/>
      </w:rPr>
      <w:t>4/12/2022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E5C3" w14:textId="77777777" w:rsidR="00A46C4D" w:rsidRDefault="00A46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0F4A33"/>
    <w:rsid w:val="001010FA"/>
    <w:rsid w:val="00101BA4"/>
    <w:rsid w:val="0010291E"/>
    <w:rsid w:val="00103452"/>
    <w:rsid w:val="00115A68"/>
    <w:rsid w:val="0011690A"/>
    <w:rsid w:val="00120C12"/>
    <w:rsid w:val="00126E3C"/>
    <w:rsid w:val="001278A4"/>
    <w:rsid w:val="0013176C"/>
    <w:rsid w:val="00131B87"/>
    <w:rsid w:val="001429AA"/>
    <w:rsid w:val="00155826"/>
    <w:rsid w:val="001622D2"/>
    <w:rsid w:val="00175D3F"/>
    <w:rsid w:val="00176C55"/>
    <w:rsid w:val="00181A4B"/>
    <w:rsid w:val="001A1D27"/>
    <w:rsid w:val="001A37FB"/>
    <w:rsid w:val="001A51ED"/>
    <w:rsid w:val="001B2E3A"/>
    <w:rsid w:val="001C32A7"/>
    <w:rsid w:val="001C3A09"/>
    <w:rsid w:val="0020058E"/>
    <w:rsid w:val="00237355"/>
    <w:rsid w:val="00241866"/>
    <w:rsid w:val="002578DB"/>
    <w:rsid w:val="00263D78"/>
    <w:rsid w:val="0026461B"/>
    <w:rsid w:val="002737DE"/>
    <w:rsid w:val="0027634D"/>
    <w:rsid w:val="00284473"/>
    <w:rsid w:val="00290E18"/>
    <w:rsid w:val="00292D43"/>
    <w:rsid w:val="00293639"/>
    <w:rsid w:val="00296BA1"/>
    <w:rsid w:val="0029768B"/>
    <w:rsid w:val="002A0723"/>
    <w:rsid w:val="002A3788"/>
    <w:rsid w:val="002B1FF7"/>
    <w:rsid w:val="002B24F6"/>
    <w:rsid w:val="002B7880"/>
    <w:rsid w:val="002C3D63"/>
    <w:rsid w:val="002D0316"/>
    <w:rsid w:val="002D194C"/>
    <w:rsid w:val="002F36B8"/>
    <w:rsid w:val="00300763"/>
    <w:rsid w:val="003039E0"/>
    <w:rsid w:val="00310D95"/>
    <w:rsid w:val="003153C3"/>
    <w:rsid w:val="00345149"/>
    <w:rsid w:val="0037253D"/>
    <w:rsid w:val="00376A8B"/>
    <w:rsid w:val="003A45F6"/>
    <w:rsid w:val="003B4A52"/>
    <w:rsid w:val="003C1A54"/>
    <w:rsid w:val="003C511E"/>
    <w:rsid w:val="003D7372"/>
    <w:rsid w:val="003E539A"/>
    <w:rsid w:val="003F099C"/>
    <w:rsid w:val="003F4E82"/>
    <w:rsid w:val="00402602"/>
    <w:rsid w:val="004105B6"/>
    <w:rsid w:val="00423E81"/>
    <w:rsid w:val="004254A0"/>
    <w:rsid w:val="00426C3A"/>
    <w:rsid w:val="004313E6"/>
    <w:rsid w:val="004403BD"/>
    <w:rsid w:val="00442EEA"/>
    <w:rsid w:val="00475EB9"/>
    <w:rsid w:val="004779B4"/>
    <w:rsid w:val="00480FAA"/>
    <w:rsid w:val="004A54F7"/>
    <w:rsid w:val="004D180F"/>
    <w:rsid w:val="004E57C5"/>
    <w:rsid w:val="004E79A5"/>
    <w:rsid w:val="00517DB2"/>
    <w:rsid w:val="00526851"/>
    <w:rsid w:val="00535F06"/>
    <w:rsid w:val="00541F11"/>
    <w:rsid w:val="005473BC"/>
    <w:rsid w:val="005520EA"/>
    <w:rsid w:val="00581C78"/>
    <w:rsid w:val="005851AF"/>
    <w:rsid w:val="005873E3"/>
    <w:rsid w:val="00593311"/>
    <w:rsid w:val="005B1049"/>
    <w:rsid w:val="005C23BD"/>
    <w:rsid w:val="005C3F83"/>
    <w:rsid w:val="005D389E"/>
    <w:rsid w:val="005E2D3D"/>
    <w:rsid w:val="005E6499"/>
    <w:rsid w:val="005F2A05"/>
    <w:rsid w:val="0061535B"/>
    <w:rsid w:val="006575EA"/>
    <w:rsid w:val="00670869"/>
    <w:rsid w:val="006761E1"/>
    <w:rsid w:val="00683987"/>
    <w:rsid w:val="0069378E"/>
    <w:rsid w:val="006970B0"/>
    <w:rsid w:val="006B20A9"/>
    <w:rsid w:val="006E365C"/>
    <w:rsid w:val="006E3AF2"/>
    <w:rsid w:val="006E6680"/>
    <w:rsid w:val="006F7F90"/>
    <w:rsid w:val="00704CFF"/>
    <w:rsid w:val="00705819"/>
    <w:rsid w:val="00706745"/>
    <w:rsid w:val="007072F7"/>
    <w:rsid w:val="00714B57"/>
    <w:rsid w:val="0071544D"/>
    <w:rsid w:val="0074235B"/>
    <w:rsid w:val="00743AD2"/>
    <w:rsid w:val="007445F4"/>
    <w:rsid w:val="007554DE"/>
    <w:rsid w:val="00760EA6"/>
    <w:rsid w:val="00766256"/>
    <w:rsid w:val="00780D75"/>
    <w:rsid w:val="00786350"/>
    <w:rsid w:val="00795D54"/>
    <w:rsid w:val="00796AF7"/>
    <w:rsid w:val="007970C3"/>
    <w:rsid w:val="007A5702"/>
    <w:rsid w:val="007B10BE"/>
    <w:rsid w:val="007B4D65"/>
    <w:rsid w:val="007E007E"/>
    <w:rsid w:val="007F4255"/>
    <w:rsid w:val="008122C6"/>
    <w:rsid w:val="0085229B"/>
    <w:rsid w:val="008555D8"/>
    <w:rsid w:val="008628B1"/>
    <w:rsid w:val="00865915"/>
    <w:rsid w:val="00872775"/>
    <w:rsid w:val="008745BA"/>
    <w:rsid w:val="00880392"/>
    <w:rsid w:val="00882CBB"/>
    <w:rsid w:val="008836DF"/>
    <w:rsid w:val="008847FE"/>
    <w:rsid w:val="0089234B"/>
    <w:rsid w:val="008927AF"/>
    <w:rsid w:val="0089400B"/>
    <w:rsid w:val="008B1F84"/>
    <w:rsid w:val="008D52B7"/>
    <w:rsid w:val="008E0FCD"/>
    <w:rsid w:val="008E3EFA"/>
    <w:rsid w:val="008F175C"/>
    <w:rsid w:val="00904152"/>
    <w:rsid w:val="00905E67"/>
    <w:rsid w:val="00913143"/>
    <w:rsid w:val="00924B54"/>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46C4D"/>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10F2"/>
    <w:rsid w:val="00AE5302"/>
    <w:rsid w:val="00AE78C2"/>
    <w:rsid w:val="00AE7A3D"/>
    <w:rsid w:val="00AF353D"/>
    <w:rsid w:val="00B12BAB"/>
    <w:rsid w:val="00B20954"/>
    <w:rsid w:val="00B24AAC"/>
    <w:rsid w:val="00B25042"/>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C4621"/>
    <w:rsid w:val="00BF1795"/>
    <w:rsid w:val="00BF30C5"/>
    <w:rsid w:val="00C0654C"/>
    <w:rsid w:val="00C11283"/>
    <w:rsid w:val="00C25F9D"/>
    <w:rsid w:val="00C31E83"/>
    <w:rsid w:val="00C344AB"/>
    <w:rsid w:val="00C518C1"/>
    <w:rsid w:val="00C53751"/>
    <w:rsid w:val="00C61286"/>
    <w:rsid w:val="00C63F4F"/>
    <w:rsid w:val="00C94576"/>
    <w:rsid w:val="00C969FA"/>
    <w:rsid w:val="00C97577"/>
    <w:rsid w:val="00CA0C0B"/>
    <w:rsid w:val="00CA71A8"/>
    <w:rsid w:val="00CC03A7"/>
    <w:rsid w:val="00CC3E7A"/>
    <w:rsid w:val="00CD18DD"/>
    <w:rsid w:val="00CD4615"/>
    <w:rsid w:val="00CF0458"/>
    <w:rsid w:val="00CF0A1D"/>
    <w:rsid w:val="00D553BB"/>
    <w:rsid w:val="00D56C09"/>
    <w:rsid w:val="00D64DF4"/>
    <w:rsid w:val="00D65F02"/>
    <w:rsid w:val="00D75B84"/>
    <w:rsid w:val="00D75FF8"/>
    <w:rsid w:val="00D968DA"/>
    <w:rsid w:val="00D96C1E"/>
    <w:rsid w:val="00DA1CC6"/>
    <w:rsid w:val="00DA73A0"/>
    <w:rsid w:val="00DB23D4"/>
    <w:rsid w:val="00DB63D4"/>
    <w:rsid w:val="00DC15D9"/>
    <w:rsid w:val="00DC5CC8"/>
    <w:rsid w:val="00DD69AE"/>
    <w:rsid w:val="00DE2B7A"/>
    <w:rsid w:val="00DF4FCD"/>
    <w:rsid w:val="00DF7C07"/>
    <w:rsid w:val="00E066F2"/>
    <w:rsid w:val="00E36AF7"/>
    <w:rsid w:val="00E4755D"/>
    <w:rsid w:val="00E500F9"/>
    <w:rsid w:val="00E641DE"/>
    <w:rsid w:val="00EA6B77"/>
    <w:rsid w:val="00EB33FD"/>
    <w:rsid w:val="00EC194E"/>
    <w:rsid w:val="00EC38F4"/>
    <w:rsid w:val="00EC63A4"/>
    <w:rsid w:val="00EC7B24"/>
    <w:rsid w:val="00ED0D58"/>
    <w:rsid w:val="00ED1712"/>
    <w:rsid w:val="00F15B95"/>
    <w:rsid w:val="00F3256C"/>
    <w:rsid w:val="00F32980"/>
    <w:rsid w:val="00F33C85"/>
    <w:rsid w:val="00F409A9"/>
    <w:rsid w:val="00F42F5D"/>
    <w:rsid w:val="00F46776"/>
    <w:rsid w:val="00F50687"/>
    <w:rsid w:val="00F62BE0"/>
    <w:rsid w:val="00F64260"/>
    <w:rsid w:val="00F8288D"/>
    <w:rsid w:val="00F84B65"/>
    <w:rsid w:val="00F871BA"/>
    <w:rsid w:val="00FA6359"/>
    <w:rsid w:val="00FA6998"/>
    <w:rsid w:val="00FA769F"/>
    <w:rsid w:val="00FA78CA"/>
    <w:rsid w:val="00FB1042"/>
    <w:rsid w:val="00FD594C"/>
    <w:rsid w:val="00FE322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281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markm\Downloads\Check%20relevant%20JAAs,%202+2s,%20and%20if%20a%20course%20you%20are%20revising%20or%20deleting%20is%20one%20with%20a%20transfer%20agreement"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67Z3ZXSPZZWZ-949-1341</_dlc_DocId>
    <_dlc_DocIdUrl xmlns="67887a43-7e4d-4c1c-91d7-15e417b1b8ab">
      <Url>https://w3.ric.edu/curriculum_committee/_layouts/15/DocIdRedir.aspx?ID=67Z3ZXSPZZWZ-949-1341</Url>
      <Description>67Z3ZXSPZZWZ-949-1341</Description>
    </_dlc_DocIdUrl>
  </documentManagement>
</p:properties>
</file>

<file path=customXml/itemProps1.xml><?xml version="1.0" encoding="utf-8"?>
<ds:datastoreItem xmlns:ds="http://schemas.openxmlformats.org/officeDocument/2006/customXml" ds:itemID="{1164FF49-0FE1-485F-BAD2-AF9C292177AC}"/>
</file>

<file path=customXml/itemProps2.xml><?xml version="1.0" encoding="utf-8"?>
<ds:datastoreItem xmlns:ds="http://schemas.openxmlformats.org/officeDocument/2006/customXml" ds:itemID="{C22B94DB-0E2A-49A1-BD47-4779EC72FEDF}"/>
</file>

<file path=customXml/itemProps3.xml><?xml version="1.0" encoding="utf-8"?>
<ds:datastoreItem xmlns:ds="http://schemas.openxmlformats.org/officeDocument/2006/customXml" ds:itemID="{22869FC0-44C4-449B-B029-6BF6F02C66A3}"/>
</file>

<file path=customXml/itemProps4.xml><?xml version="1.0" encoding="utf-8"?>
<ds:datastoreItem xmlns:ds="http://schemas.openxmlformats.org/officeDocument/2006/customXml" ds:itemID="{4866219C-6248-493B-850A-D37348D14E50}"/>
</file>

<file path=docProps/app.xml><?xml version="1.0" encoding="utf-8"?>
<Properties xmlns="http://schemas.openxmlformats.org/officeDocument/2006/extended-properties" xmlns:vt="http://schemas.openxmlformats.org/officeDocument/2006/docPropsVTypes">
  <Template>Normal.dotm</Template>
  <TotalTime>15</TotalTime>
  <Pages>4</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2022-03-25T13:51:00Z</dcterms:created>
  <dcterms:modified xsi:type="dcterms:W3CDTF">2022-05-06T21:28:00Z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7b9dc93f-76a5-4808-bcb6-a96ff77e2693</vt:lpwstr>
  </property>
  <property fmtid="{D5CDD505-2E9C-101B-9397-08002B2CF9AE}" pid="4" name="ContentTypeId">
    <vt:lpwstr>0x0101009736D43DC7C38546B966A7508121890B</vt:lpwstr>
  </property>
</Properties>
</file>