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3FB9B52" w:rsidR="00F64260" w:rsidRPr="00A83A6C" w:rsidRDefault="00DB7E95" w:rsidP="00B862BF">
            <w:pPr>
              <w:pStyle w:val="Heading5"/>
              <w:rPr>
                <w:b/>
              </w:rPr>
            </w:pPr>
            <w:bookmarkStart w:id="0" w:name="Proposal"/>
            <w:bookmarkEnd w:id="0"/>
            <w:r>
              <w:rPr>
                <w:b/>
              </w:rPr>
              <w:t xml:space="preserve">MATH </w:t>
            </w:r>
            <w:r w:rsidR="003C67E4">
              <w:rPr>
                <w:b/>
              </w:rPr>
              <w:t>144</w:t>
            </w:r>
            <w:r>
              <w:rPr>
                <w:b/>
              </w:rPr>
              <w:t xml:space="preserve">: </w:t>
            </w:r>
            <w:r w:rsidR="003C67E4">
              <w:rPr>
                <w:b/>
              </w:rPr>
              <w:t>Mathematics for Elementary School Teachers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96285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6007830A"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80CF974"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Start w:id="6" w:name="revision"/>
            <w:bookmarkEnd w:id="5"/>
            <w:bookmarkEnd w:id="6"/>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BAB9130" w:rsidR="00F64260" w:rsidRPr="00B605CE" w:rsidRDefault="00DB7E95" w:rsidP="00B862BF">
            <w:pPr>
              <w:rPr>
                <w:b/>
              </w:rPr>
            </w:pPr>
            <w:bookmarkStart w:id="7" w:name="Originator"/>
            <w:bookmarkEnd w:id="7"/>
            <w:r>
              <w:rPr>
                <w:b/>
              </w:rPr>
              <w:t xml:space="preserve">Mark </w:t>
            </w:r>
            <w:proofErr w:type="spellStart"/>
            <w:r>
              <w:rPr>
                <w:b/>
              </w:rPr>
              <w:t>Medwid</w:t>
            </w:r>
            <w:proofErr w:type="spellEnd"/>
          </w:p>
        </w:tc>
        <w:tc>
          <w:tcPr>
            <w:tcW w:w="1210" w:type="pct"/>
          </w:tcPr>
          <w:p w14:paraId="788D9512" w14:textId="19B60691" w:rsidR="00F64260" w:rsidRPr="00946B20" w:rsidRDefault="0096285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6AC3DDE" w:rsidR="00F64260" w:rsidRPr="00B605CE" w:rsidRDefault="00DB7E95" w:rsidP="00B862BF">
            <w:pPr>
              <w:rPr>
                <w:b/>
              </w:rPr>
            </w:pPr>
            <w:bookmarkStart w:id="8" w:name="home_dept"/>
            <w:bookmarkEnd w:id="8"/>
            <w:r>
              <w:rPr>
                <w:b/>
              </w:rPr>
              <w:t>Mathematical Sciences</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6D888D9A" w14:textId="38548BD7" w:rsidR="00C2045D" w:rsidRDefault="00DB7E95" w:rsidP="00DB7E95">
            <w:pPr>
              <w:rPr>
                <w:b/>
              </w:rPr>
            </w:pPr>
            <w:bookmarkStart w:id="9" w:name="Rationale"/>
            <w:bookmarkEnd w:id="9"/>
            <w:r>
              <w:rPr>
                <w:b/>
              </w:rPr>
              <w:t xml:space="preserve">This is a revision to the course MATH </w:t>
            </w:r>
            <w:r w:rsidR="003C67E4">
              <w:rPr>
                <w:b/>
              </w:rPr>
              <w:t>144</w:t>
            </w:r>
            <w:r>
              <w:rPr>
                <w:b/>
              </w:rPr>
              <w:t xml:space="preserve"> in which we adjust the</w:t>
            </w:r>
            <w:r w:rsidR="009527EE">
              <w:rPr>
                <w:b/>
              </w:rPr>
              <w:t xml:space="preserve"> list of</w:t>
            </w:r>
            <w:r>
              <w:rPr>
                <w:b/>
              </w:rPr>
              <w:t xml:space="preserve"> prerequisites for the course. </w:t>
            </w:r>
            <w:r w:rsidR="00C2045D">
              <w:rPr>
                <w:b/>
              </w:rPr>
              <w:t xml:space="preserve">We wish to add </w:t>
            </w:r>
            <w:r w:rsidR="003C67E4">
              <w:rPr>
                <w:b/>
              </w:rPr>
              <w:t xml:space="preserve">“Completed college mathematics competency or appropriate score on the mathematics placement exam” </w:t>
            </w:r>
            <w:r w:rsidR="00C2045D">
              <w:rPr>
                <w:b/>
              </w:rPr>
              <w:t xml:space="preserve"> to the list of prerequisites for this course.</w:t>
            </w:r>
          </w:p>
          <w:p w14:paraId="5153AC25" w14:textId="77777777" w:rsidR="00C2045D" w:rsidRDefault="00C2045D" w:rsidP="00DB7E95">
            <w:pPr>
              <w:rPr>
                <w:b/>
              </w:rPr>
            </w:pPr>
          </w:p>
          <w:p w14:paraId="1F4C7A8B" w14:textId="77777777" w:rsidR="00F64260" w:rsidRDefault="00C2045D" w:rsidP="003C67E4">
            <w:pPr>
              <w:rPr>
                <w:b/>
              </w:rPr>
            </w:pPr>
            <w:r>
              <w:rPr>
                <w:b/>
              </w:rPr>
              <w:t xml:space="preserve">At present, MATH </w:t>
            </w:r>
            <w:r w:rsidR="003C67E4">
              <w:rPr>
                <w:b/>
              </w:rPr>
              <w:t>144 requires MATH 143</w:t>
            </w:r>
            <w:r w:rsidR="0015148B">
              <w:rPr>
                <w:b/>
              </w:rPr>
              <w:t xml:space="preserve"> (Mathematics for Elementary School Teachers I) with a minimum grade of C or consent of the department chair. MATH 143 explicitly requires students to have completed the college mathematics competency requirement, but MATH 144 does not. In this way, completion of the college mathematics competency requirement is a ‘soft’ prerequisite for MATH 144. </w:t>
            </w:r>
            <w:r>
              <w:rPr>
                <w:b/>
              </w:rPr>
              <w:t xml:space="preserve"> </w:t>
            </w:r>
          </w:p>
          <w:p w14:paraId="04957CF0" w14:textId="77777777" w:rsidR="0015148B" w:rsidRDefault="0015148B" w:rsidP="003C67E4">
            <w:pPr>
              <w:rPr>
                <w:b/>
              </w:rPr>
            </w:pPr>
          </w:p>
          <w:p w14:paraId="319B82F0" w14:textId="77777777" w:rsidR="00560BB2" w:rsidRDefault="0015148B" w:rsidP="003C67E4">
            <w:pPr>
              <w:rPr>
                <w:b/>
              </w:rPr>
            </w:pPr>
            <w:r>
              <w:rPr>
                <w:b/>
              </w:rPr>
              <w:t xml:space="preserve">It is possible that </w:t>
            </w:r>
            <w:r w:rsidR="005517F2">
              <w:rPr>
                <w:b/>
              </w:rPr>
              <w:t xml:space="preserve">for </w:t>
            </w:r>
            <w:r>
              <w:rPr>
                <w:b/>
              </w:rPr>
              <w:t>a student</w:t>
            </w:r>
            <w:r w:rsidR="005517F2">
              <w:rPr>
                <w:b/>
              </w:rPr>
              <w:t xml:space="preserve"> to</w:t>
            </w:r>
            <w:r>
              <w:rPr>
                <w:b/>
              </w:rPr>
              <w:t xml:space="preserve"> receive transfer credit for MATH 143 </w:t>
            </w:r>
            <w:r w:rsidR="005517F2">
              <w:rPr>
                <w:b/>
              </w:rPr>
              <w:t xml:space="preserve">from another institution without satisfying the college mathematics competency requirement. As MATH 144 is a continuation of MATH 143, the course operates under the assumption that all students have satisfied the requirement. However, this may leave a transfer student </w:t>
            </w:r>
            <w:r w:rsidR="0058252B">
              <w:rPr>
                <w:b/>
              </w:rPr>
              <w:t xml:space="preserve">disadvantaged when it comes to success in the course. </w:t>
            </w:r>
          </w:p>
          <w:p w14:paraId="78285CA3" w14:textId="77777777" w:rsidR="00560BB2" w:rsidRDefault="00560BB2" w:rsidP="003C67E4">
            <w:pPr>
              <w:rPr>
                <w:b/>
              </w:rPr>
            </w:pPr>
          </w:p>
          <w:p w14:paraId="41EFFC68" w14:textId="35FAF8D2" w:rsidR="0015148B" w:rsidRPr="00FA6998" w:rsidRDefault="0058252B" w:rsidP="003C67E4">
            <w:pPr>
              <w:rPr>
                <w:b/>
              </w:rPr>
            </w:pPr>
            <w:r>
              <w:rPr>
                <w:b/>
              </w:rPr>
              <w:t xml:space="preserve">Since MATH 144 covers content in geometry, combinatorics, </w:t>
            </w:r>
            <w:r w:rsidR="00251B51">
              <w:rPr>
                <w:b/>
              </w:rPr>
              <w:t>probability,</w:t>
            </w:r>
            <w:r>
              <w:rPr>
                <w:b/>
              </w:rPr>
              <w:t xml:space="preserve"> and statistics, having a basic grasp on numerical operations, percentages and decimals is paramount. </w:t>
            </w:r>
            <w:r w:rsidR="00251B51">
              <w:rPr>
                <w:b/>
              </w:rPr>
              <w:t>Therefore, we believe that ensuring a student has some recent background in fundamental mathematical concepts leaves the students with better odds of successfully completing the course.</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7A0A7AD8" w:rsidR="00517DB2" w:rsidRPr="00B649C4" w:rsidRDefault="00251B51" w:rsidP="00517DB2">
            <w:pPr>
              <w:rPr>
                <w:b/>
              </w:rPr>
            </w:pPr>
            <w:bookmarkStart w:id="10" w:name="student_impact"/>
            <w:bookmarkEnd w:id="10"/>
            <w:r>
              <w:rPr>
                <w:b/>
              </w:rPr>
              <w:t>This change fundamentally only affects elementary education</w:t>
            </w:r>
            <w:r w:rsidR="00560BB2">
              <w:rPr>
                <w:b/>
              </w:rPr>
              <w:t>-intended</w:t>
            </w:r>
            <w:r>
              <w:rPr>
                <w:b/>
              </w:rPr>
              <w:t xml:space="preserve"> transfer students without the mathematics competency requirement fulfilled</w:t>
            </w:r>
            <w:r w:rsidR="00560BB2">
              <w:rPr>
                <w:b/>
              </w:rPr>
              <w:t xml:space="preserve"> that have received transfer credit for MATH 143. As completion of the mathematics competency is a prerequisite for admission to any undergraduate degree </w:t>
            </w:r>
            <w:r w:rsidR="00560BB2">
              <w:rPr>
                <w:b/>
              </w:rPr>
              <w:lastRenderedPageBreak/>
              <w:t>program in the Feinstein School of Education and Human Development, we expect that this change will</w:t>
            </w:r>
            <w:r w:rsidR="00D2781B">
              <w:rPr>
                <w:b/>
              </w:rPr>
              <w:t xml:space="preserve"> have minimal overall impact. Some students may need to delay their enrollment in MATH 144 until the requirement is completed.</w:t>
            </w:r>
            <w:r w:rsidR="00B6522F">
              <w:rPr>
                <w:b/>
              </w:rPr>
              <w:t xml:space="preserve"> </w:t>
            </w:r>
          </w:p>
        </w:tc>
      </w:tr>
      <w:tr w:rsidR="00517DB2" w:rsidRPr="006E3AF2" w14:paraId="7D9FD828" w14:textId="77777777" w:rsidTr="00517DB2">
        <w:tc>
          <w:tcPr>
            <w:tcW w:w="1111" w:type="pct"/>
            <w:vAlign w:val="center"/>
          </w:tcPr>
          <w:p w14:paraId="06D8C9D5" w14:textId="4E51CBDA" w:rsidR="00517DB2" w:rsidRPr="00B649C4" w:rsidRDefault="008D52B7" w:rsidP="008D52B7">
            <w:r>
              <w:lastRenderedPageBreak/>
              <w:t>A.6</w:t>
            </w:r>
            <w:r w:rsidR="00517DB2">
              <w:t>.</w:t>
            </w:r>
            <w:r w:rsidR="004D180F">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B4F76B9" w:rsidR="00517DB2" w:rsidRPr="00B649C4" w:rsidRDefault="00C903AE" w:rsidP="00517DB2">
            <w:pPr>
              <w:rPr>
                <w:b/>
              </w:rPr>
            </w:pPr>
            <w:bookmarkStart w:id="11" w:name="prog_impact"/>
            <w:bookmarkEnd w:id="11"/>
            <w:r>
              <w:rPr>
                <w:b/>
              </w:rPr>
              <w:t xml:space="preserve">As the fulfillment of mathematics competency is already a requirement for admission to FSEHD programs, we expect the impact on </w:t>
            </w:r>
            <w:r w:rsidR="00D67D9D">
              <w:rPr>
                <w:b/>
              </w:rPr>
              <w:t>their</w:t>
            </w:r>
            <w:r>
              <w:rPr>
                <w:b/>
              </w:rPr>
              <w:t xml:space="preserve"> programs to be negligible</w:t>
            </w:r>
            <w:r w:rsidR="00D67D9D">
              <w:rPr>
                <w:b/>
              </w:rPr>
              <w:t>, but they have been notified of the change</w:t>
            </w:r>
            <w:r w:rsidR="00B6522F">
              <w:rPr>
                <w:b/>
              </w:rPr>
              <w:t>, so that they can update their Academic Rhode Maps to reflect the change.</w:t>
            </w:r>
          </w:p>
        </w:tc>
      </w:tr>
      <w:tr w:rsidR="00CB5F1E" w:rsidRPr="006E3AF2" w14:paraId="0DC0BD17" w14:textId="77777777" w:rsidTr="00A237CA">
        <w:tc>
          <w:tcPr>
            <w:tcW w:w="1111" w:type="pct"/>
            <w:vAlign w:val="center"/>
          </w:tcPr>
          <w:p w14:paraId="31E4DE40" w14:textId="77777777" w:rsidR="00CB5F1E" w:rsidRDefault="00CB5F1E" w:rsidP="00A237CA">
            <w:r>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t>what needs to be updated.</w:t>
            </w:r>
          </w:p>
        </w:tc>
        <w:tc>
          <w:tcPr>
            <w:tcW w:w="3889" w:type="pct"/>
            <w:gridSpan w:val="5"/>
          </w:tcPr>
          <w:p w14:paraId="342F1837" w14:textId="77777777" w:rsidR="00CB5F1E" w:rsidRPr="00B649C4" w:rsidRDefault="00CB5F1E" w:rsidP="00A237CA">
            <w:pPr>
              <w:rPr>
                <w:b/>
              </w:rPr>
            </w:pPr>
            <w:r>
              <w:rPr>
                <w:b/>
              </w:rPr>
              <w:t>No impact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6285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BD1AA5C" w:rsidR="008D52B7" w:rsidRPr="00C25F9D" w:rsidRDefault="003F6B6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6285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A23D84E" w:rsidR="008D52B7" w:rsidRPr="00C25F9D" w:rsidRDefault="003F6B6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6285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8C96181" w:rsidR="008D52B7" w:rsidRPr="00C25F9D" w:rsidRDefault="003F6B6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6285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3F70306" w:rsidR="008D52B7" w:rsidRPr="00C25F9D" w:rsidRDefault="003F6B6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F11A096" w:rsidR="00F64260" w:rsidRPr="00B605CE" w:rsidRDefault="003F6B62" w:rsidP="00B862BF">
            <w:pPr>
              <w:rPr>
                <w:b/>
              </w:rPr>
            </w:pPr>
            <w:bookmarkStart w:id="12" w:name="date_submitted"/>
            <w:bookmarkEnd w:id="12"/>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sidRPr="004D180F">
              <w:rPr>
                <w:b/>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00C96686" w:rsidR="00F64260" w:rsidRPr="009F029C" w:rsidRDefault="003F6B62" w:rsidP="001429AA">
            <w:pPr>
              <w:spacing w:line="240" w:lineRule="auto"/>
              <w:rPr>
                <w:b/>
              </w:rPr>
            </w:pPr>
            <w:bookmarkStart w:id="14" w:name="cours_title"/>
            <w:bookmarkEnd w:id="14"/>
            <w:r>
              <w:rPr>
                <w:b/>
              </w:rPr>
              <w:t xml:space="preserve">MATH </w:t>
            </w:r>
            <w:r w:rsidR="00BD219F">
              <w:rPr>
                <w:b/>
              </w:rPr>
              <w:t>144</w:t>
            </w:r>
          </w:p>
        </w:tc>
        <w:tc>
          <w:tcPr>
            <w:tcW w:w="3840" w:type="dxa"/>
            <w:noWrap/>
          </w:tcPr>
          <w:p w14:paraId="6540064C" w14:textId="07647B6D" w:rsidR="00F64260" w:rsidRPr="009F029C" w:rsidRDefault="003F6B62" w:rsidP="001429AA">
            <w:pPr>
              <w:spacing w:line="240" w:lineRule="auto"/>
              <w:rPr>
                <w:b/>
              </w:rPr>
            </w:pPr>
            <w:r>
              <w:rPr>
                <w:b/>
              </w:rPr>
              <w:t xml:space="preserve">MATH </w:t>
            </w:r>
            <w:r w:rsidR="00BD219F">
              <w:rPr>
                <w:b/>
              </w:rPr>
              <w:t>144</w:t>
            </w: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22AF8426" w:rsidR="00F64260" w:rsidRPr="009F029C" w:rsidRDefault="00BD219F" w:rsidP="001429AA">
            <w:pPr>
              <w:spacing w:line="240" w:lineRule="auto"/>
              <w:rPr>
                <w:b/>
              </w:rPr>
            </w:pPr>
            <w:bookmarkStart w:id="15" w:name="title"/>
            <w:bookmarkEnd w:id="15"/>
            <w:r>
              <w:rPr>
                <w:b/>
              </w:rPr>
              <w:t>Mathematics for Elementary School Teachers II</w:t>
            </w:r>
          </w:p>
        </w:tc>
        <w:tc>
          <w:tcPr>
            <w:tcW w:w="3840" w:type="dxa"/>
            <w:noWrap/>
          </w:tcPr>
          <w:p w14:paraId="2B9DB727" w14:textId="480FA0AB" w:rsidR="00F64260" w:rsidRPr="009F029C" w:rsidRDefault="00BD219F" w:rsidP="001429AA">
            <w:pPr>
              <w:spacing w:line="240" w:lineRule="auto"/>
              <w:rPr>
                <w:b/>
              </w:rPr>
            </w:pPr>
            <w:r>
              <w:rPr>
                <w:b/>
              </w:rPr>
              <w:t>Mathematics for Elementary School Teachers II</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16C3209" w:rsidR="00F64260" w:rsidRPr="009F029C" w:rsidRDefault="00BD219F" w:rsidP="001429AA">
            <w:pPr>
              <w:spacing w:line="240" w:lineRule="auto"/>
              <w:rPr>
                <w:b/>
              </w:rPr>
            </w:pPr>
            <w:bookmarkStart w:id="16" w:name="prereqs"/>
            <w:bookmarkEnd w:id="16"/>
            <w:r>
              <w:rPr>
                <w:b/>
              </w:rPr>
              <w:t>MATH 143, with a minimum grade of C, or consent of department chair.</w:t>
            </w:r>
          </w:p>
        </w:tc>
        <w:tc>
          <w:tcPr>
            <w:tcW w:w="3840" w:type="dxa"/>
            <w:noWrap/>
          </w:tcPr>
          <w:p w14:paraId="4DA91B44" w14:textId="647FF197" w:rsidR="00F64260" w:rsidRPr="009F029C" w:rsidRDefault="00BD219F" w:rsidP="001429AA">
            <w:pPr>
              <w:spacing w:line="240" w:lineRule="auto"/>
              <w:rPr>
                <w:b/>
              </w:rPr>
            </w:pPr>
            <w:r>
              <w:rPr>
                <w:b/>
              </w:rPr>
              <w:t xml:space="preserve">Completed college mathematics competency or appropriate score on the mathematics placement exam and MATH 143, with a minimum grade of C, or consent of department chair. </w:t>
            </w:r>
          </w:p>
        </w:tc>
      </w:tr>
    </w:tbl>
    <w:p w14:paraId="0A7F01A1" w14:textId="77777777" w:rsidR="00F64260" w:rsidRDefault="00F64260">
      <w:pPr>
        <w:spacing w:line="240" w:lineRule="auto"/>
      </w:pPr>
    </w:p>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0797F601" w:rsidR="00F64260" w:rsidRDefault="00795C10" w:rsidP="000556B3">
            <w:pPr>
              <w:pStyle w:val="ListParagraph"/>
              <w:numPr>
                <w:ilvl w:val="0"/>
                <w:numId w:val="8"/>
              </w:numPr>
              <w:spacing w:line="240" w:lineRule="auto"/>
            </w:pPr>
            <w:bookmarkStart w:id="17" w:name="outline"/>
            <w:bookmarkEnd w:id="17"/>
            <w:r>
              <w:t>Geometry</w:t>
            </w:r>
          </w:p>
          <w:p w14:paraId="51EEF067" w14:textId="25731332" w:rsidR="00F64260" w:rsidRDefault="00795C10" w:rsidP="000556B3">
            <w:pPr>
              <w:pStyle w:val="ListParagraph"/>
              <w:numPr>
                <w:ilvl w:val="1"/>
                <w:numId w:val="8"/>
              </w:numPr>
              <w:spacing w:line="240" w:lineRule="auto"/>
            </w:pPr>
            <w:r>
              <w:t>Lines, Planes, and Angles</w:t>
            </w:r>
          </w:p>
          <w:p w14:paraId="4AB434E3" w14:textId="1D173F6C" w:rsidR="00795C10" w:rsidRDefault="00795C10" w:rsidP="000556B3">
            <w:pPr>
              <w:pStyle w:val="ListParagraph"/>
              <w:numPr>
                <w:ilvl w:val="1"/>
                <w:numId w:val="8"/>
              </w:numPr>
              <w:spacing w:line="240" w:lineRule="auto"/>
            </w:pPr>
            <w:r>
              <w:t>Triangles</w:t>
            </w:r>
          </w:p>
          <w:p w14:paraId="1FE8C82F" w14:textId="365B1F24" w:rsidR="00795C10" w:rsidRDefault="00795C10" w:rsidP="000556B3">
            <w:pPr>
              <w:pStyle w:val="ListParagraph"/>
              <w:numPr>
                <w:ilvl w:val="1"/>
                <w:numId w:val="8"/>
              </w:numPr>
              <w:spacing w:line="240" w:lineRule="auto"/>
            </w:pPr>
            <w:r>
              <w:lastRenderedPageBreak/>
              <w:t>Quadrilaterals, Polygons, and Circles</w:t>
            </w:r>
          </w:p>
          <w:p w14:paraId="60C67BEC" w14:textId="3142D8EE" w:rsidR="00795C10" w:rsidRDefault="00795C10" w:rsidP="000556B3">
            <w:pPr>
              <w:pStyle w:val="ListParagraph"/>
              <w:numPr>
                <w:ilvl w:val="1"/>
                <w:numId w:val="8"/>
              </w:numPr>
              <w:spacing w:line="240" w:lineRule="auto"/>
            </w:pPr>
            <w:r>
              <w:t>Surfaces and Solids</w:t>
            </w:r>
          </w:p>
          <w:p w14:paraId="6C88E645" w14:textId="000136E6" w:rsidR="009C1DCB" w:rsidRDefault="009C1DCB" w:rsidP="000556B3">
            <w:pPr>
              <w:pStyle w:val="ListParagraph"/>
              <w:numPr>
                <w:ilvl w:val="1"/>
                <w:numId w:val="8"/>
              </w:numPr>
              <w:spacing w:line="240" w:lineRule="auto"/>
            </w:pPr>
            <w:r>
              <w:t>Congruence and Similarity</w:t>
            </w:r>
          </w:p>
          <w:p w14:paraId="49A3CB6E" w14:textId="59153772" w:rsidR="009C1DCB" w:rsidRDefault="009C1DCB" w:rsidP="000556B3">
            <w:pPr>
              <w:pStyle w:val="ListParagraph"/>
              <w:numPr>
                <w:ilvl w:val="1"/>
                <w:numId w:val="8"/>
              </w:numPr>
              <w:spacing w:line="240" w:lineRule="auto"/>
            </w:pPr>
            <w:r>
              <w:t>Coordinate and Transformation Geometry</w:t>
            </w:r>
          </w:p>
          <w:p w14:paraId="05EF6A73" w14:textId="41E9118E" w:rsidR="005E2D3D" w:rsidRDefault="00795C10" w:rsidP="005E2D3D">
            <w:pPr>
              <w:pStyle w:val="ListParagraph"/>
              <w:numPr>
                <w:ilvl w:val="0"/>
                <w:numId w:val="8"/>
              </w:numPr>
              <w:spacing w:line="240" w:lineRule="auto"/>
            </w:pPr>
            <w:r>
              <w:t>Measurement</w:t>
            </w:r>
          </w:p>
          <w:p w14:paraId="04B435F4" w14:textId="01E0378A" w:rsidR="005E2D3D" w:rsidRDefault="00795C10" w:rsidP="005E2D3D">
            <w:pPr>
              <w:pStyle w:val="ListParagraph"/>
              <w:numPr>
                <w:ilvl w:val="1"/>
                <w:numId w:val="8"/>
              </w:numPr>
              <w:spacing w:line="240" w:lineRule="auto"/>
            </w:pPr>
            <w:r>
              <w:t>Length and the Measurement Process</w:t>
            </w:r>
          </w:p>
          <w:p w14:paraId="197E3086" w14:textId="77777777" w:rsidR="003C023F" w:rsidRDefault="00795C10" w:rsidP="00795C10">
            <w:pPr>
              <w:pStyle w:val="ListParagraph"/>
              <w:numPr>
                <w:ilvl w:val="1"/>
                <w:numId w:val="8"/>
              </w:numPr>
              <w:spacing w:line="240" w:lineRule="auto"/>
            </w:pPr>
            <w:r>
              <w:t>Perimeter, Area, Surface Area, Volume</w:t>
            </w:r>
          </w:p>
          <w:p w14:paraId="6F00D276" w14:textId="77777777" w:rsidR="00795C10" w:rsidRDefault="009C1DCB" w:rsidP="00795C10">
            <w:pPr>
              <w:pStyle w:val="ListParagraph"/>
              <w:numPr>
                <w:ilvl w:val="0"/>
                <w:numId w:val="8"/>
              </w:numPr>
              <w:spacing w:line="240" w:lineRule="auto"/>
            </w:pPr>
            <w:r>
              <w:t>Probability and Statistics</w:t>
            </w:r>
          </w:p>
          <w:p w14:paraId="25731C12" w14:textId="77777777" w:rsidR="009C1DCB" w:rsidRDefault="009C1DCB" w:rsidP="009C1DCB">
            <w:pPr>
              <w:pStyle w:val="ListParagraph"/>
              <w:numPr>
                <w:ilvl w:val="1"/>
                <w:numId w:val="8"/>
              </w:numPr>
              <w:spacing w:line="240" w:lineRule="auto"/>
            </w:pPr>
            <w:r>
              <w:t>Representing and Analyzing Data</w:t>
            </w:r>
          </w:p>
          <w:p w14:paraId="2AA14295" w14:textId="77777777" w:rsidR="009C1DCB" w:rsidRDefault="009C1DCB" w:rsidP="009C1DCB">
            <w:pPr>
              <w:pStyle w:val="ListParagraph"/>
              <w:numPr>
                <w:ilvl w:val="1"/>
                <w:numId w:val="8"/>
              </w:numPr>
              <w:spacing w:line="240" w:lineRule="auto"/>
            </w:pPr>
            <w:r>
              <w:t>Experimental Probability and Making Predictions from Data</w:t>
            </w:r>
          </w:p>
          <w:p w14:paraId="575CD51A" w14:textId="77777777" w:rsidR="009C1DCB" w:rsidRDefault="009C1DCB" w:rsidP="009C1DCB">
            <w:pPr>
              <w:pStyle w:val="ListParagraph"/>
              <w:numPr>
                <w:ilvl w:val="1"/>
                <w:numId w:val="8"/>
              </w:numPr>
              <w:spacing w:line="240" w:lineRule="auto"/>
            </w:pPr>
            <w:r>
              <w:t>Theoretical Probability</w:t>
            </w:r>
          </w:p>
          <w:p w14:paraId="470236DF" w14:textId="77777777" w:rsidR="009C1DCB" w:rsidRDefault="009C1DCB" w:rsidP="009C1DCB">
            <w:pPr>
              <w:pStyle w:val="ListParagraph"/>
              <w:numPr>
                <w:ilvl w:val="1"/>
                <w:numId w:val="8"/>
              </w:numPr>
              <w:spacing w:line="240" w:lineRule="auto"/>
            </w:pPr>
            <w:r>
              <w:t>Conditional and Geometric Probability, Odds, Expected Value</w:t>
            </w:r>
          </w:p>
          <w:p w14:paraId="6B2C7A47" w14:textId="2CB68048" w:rsidR="009C1DCB" w:rsidRDefault="009C1DCB" w:rsidP="009C1DCB">
            <w:pPr>
              <w:pStyle w:val="ListParagraph"/>
              <w:numPr>
                <w:ilvl w:val="1"/>
                <w:numId w:val="8"/>
              </w:numPr>
              <w:spacing w:line="240" w:lineRule="auto"/>
            </w:pPr>
            <w:r>
              <w:t>Counting Techniques</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210F18">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8" w:name="_Signature"/>
        <w:bookmarkEnd w:id="18"/>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210F18">
        <w:trPr>
          <w:cantSplit/>
          <w:trHeight w:val="489"/>
        </w:trPr>
        <w:tc>
          <w:tcPr>
            <w:tcW w:w="3168" w:type="dxa"/>
            <w:vAlign w:val="center"/>
          </w:tcPr>
          <w:p w14:paraId="2B0991B7" w14:textId="6E7878D4" w:rsidR="00115A68" w:rsidRDefault="00210F18" w:rsidP="0015571B">
            <w:pPr>
              <w:spacing w:line="240" w:lineRule="auto"/>
            </w:pPr>
            <w:r>
              <w:t>Rebecca Sparks</w:t>
            </w:r>
          </w:p>
        </w:tc>
        <w:tc>
          <w:tcPr>
            <w:tcW w:w="3254" w:type="dxa"/>
            <w:vAlign w:val="center"/>
          </w:tcPr>
          <w:p w14:paraId="2927DBCB" w14:textId="38F1C13B" w:rsidR="00115A68" w:rsidRDefault="00115A68" w:rsidP="0015571B">
            <w:pPr>
              <w:spacing w:line="240" w:lineRule="auto"/>
            </w:pPr>
            <w:r>
              <w:t xml:space="preserve">Chair of </w:t>
            </w:r>
            <w:r w:rsidR="00210F18">
              <w:t xml:space="preserve"> the Department of Mathematical Sciences</w:t>
            </w:r>
          </w:p>
        </w:tc>
        <w:tc>
          <w:tcPr>
            <w:tcW w:w="3197" w:type="dxa"/>
            <w:vAlign w:val="center"/>
          </w:tcPr>
          <w:p w14:paraId="7927CB11" w14:textId="4E4C549F" w:rsidR="00115A68" w:rsidRDefault="00D67D9D" w:rsidP="0015571B">
            <w:pPr>
              <w:spacing w:line="240" w:lineRule="auto"/>
            </w:pPr>
            <w:r>
              <w:t>*approved by e-mail</w:t>
            </w:r>
          </w:p>
        </w:tc>
        <w:tc>
          <w:tcPr>
            <w:tcW w:w="1161" w:type="dxa"/>
            <w:vAlign w:val="center"/>
          </w:tcPr>
          <w:p w14:paraId="06A64098" w14:textId="5E18D008" w:rsidR="00115A68" w:rsidRDefault="00D67D9D" w:rsidP="0015571B">
            <w:pPr>
              <w:spacing w:line="240" w:lineRule="auto"/>
            </w:pPr>
            <w:r>
              <w:t>4/12/2022</w:t>
            </w:r>
          </w:p>
        </w:tc>
      </w:tr>
      <w:tr w:rsidR="00115A68" w14:paraId="5FB4CB46" w14:textId="77777777" w:rsidTr="00210F18">
        <w:trPr>
          <w:cantSplit/>
          <w:trHeight w:val="489"/>
        </w:trPr>
        <w:tc>
          <w:tcPr>
            <w:tcW w:w="3168" w:type="dxa"/>
            <w:vAlign w:val="center"/>
          </w:tcPr>
          <w:p w14:paraId="6ED2A8A6" w14:textId="7F977BCE" w:rsidR="00115A68" w:rsidRDefault="00210F18" w:rsidP="0015571B">
            <w:pPr>
              <w:spacing w:line="240" w:lineRule="auto"/>
            </w:pPr>
            <w:r>
              <w:t>Earl Simson</w:t>
            </w:r>
          </w:p>
        </w:tc>
        <w:tc>
          <w:tcPr>
            <w:tcW w:w="3254" w:type="dxa"/>
            <w:vAlign w:val="center"/>
          </w:tcPr>
          <w:p w14:paraId="229CC930" w14:textId="2CBBF9C3" w:rsidR="00115A68" w:rsidRDefault="00115A68" w:rsidP="0015571B">
            <w:pPr>
              <w:spacing w:line="240" w:lineRule="auto"/>
            </w:pPr>
            <w:r>
              <w:t xml:space="preserve">Dean of </w:t>
            </w:r>
            <w:r w:rsidR="00210F18">
              <w:t>the Faculty of Arts and Sciences</w:t>
            </w:r>
          </w:p>
        </w:tc>
        <w:tc>
          <w:tcPr>
            <w:tcW w:w="3197" w:type="dxa"/>
            <w:vAlign w:val="center"/>
          </w:tcPr>
          <w:p w14:paraId="73DF0B07" w14:textId="2E1182D3" w:rsidR="00115A68" w:rsidRDefault="00AE55B1" w:rsidP="0015571B">
            <w:pPr>
              <w:spacing w:line="240" w:lineRule="auto"/>
            </w:pPr>
            <w:r>
              <w:rPr>
                <w:rFonts w:ascii="Brush Script MT" w:hAnsi="Brush Script MT"/>
                <w:sz w:val="28"/>
              </w:rPr>
              <w:t>Earl Simson</w:t>
            </w:r>
          </w:p>
        </w:tc>
        <w:tc>
          <w:tcPr>
            <w:tcW w:w="1161" w:type="dxa"/>
            <w:vAlign w:val="center"/>
          </w:tcPr>
          <w:p w14:paraId="4EB70E84" w14:textId="7E284246" w:rsidR="00115A68" w:rsidRDefault="00AE55B1" w:rsidP="0015571B">
            <w:pPr>
              <w:spacing w:line="240" w:lineRule="auto"/>
            </w:pPr>
            <w:r>
              <w:t>4/14/2022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9" w:name="acknowledge"/>
        <w:bookmarkEnd w:id="1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4"/>
        <w:gridCol w:w="3237"/>
        <w:gridCol w:w="3154"/>
        <w:gridCol w:w="1285"/>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96285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0" w:name="Signature_2"/>
            <w:bookmarkEnd w:id="2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4895D93D" w:rsidR="00115A68" w:rsidRDefault="00D67D9D" w:rsidP="0015571B">
            <w:pPr>
              <w:spacing w:line="240" w:lineRule="auto"/>
            </w:pPr>
            <w:r>
              <w:t xml:space="preserve">Carolyn </w:t>
            </w:r>
            <w:proofErr w:type="spellStart"/>
            <w:r>
              <w:t>Obel-Omia</w:t>
            </w:r>
            <w:proofErr w:type="spellEnd"/>
          </w:p>
        </w:tc>
        <w:tc>
          <w:tcPr>
            <w:tcW w:w="3279" w:type="dxa"/>
            <w:vAlign w:val="center"/>
          </w:tcPr>
          <w:p w14:paraId="12B14668" w14:textId="4CC13B36" w:rsidR="00115A68" w:rsidRDefault="00D67D9D" w:rsidP="0015571B">
            <w:pPr>
              <w:spacing w:line="240" w:lineRule="auto"/>
            </w:pPr>
            <w:r>
              <w:t>Chair ELED</w:t>
            </w:r>
          </w:p>
        </w:tc>
        <w:tc>
          <w:tcPr>
            <w:tcW w:w="3280" w:type="dxa"/>
            <w:vAlign w:val="center"/>
          </w:tcPr>
          <w:p w14:paraId="35E6C3B2" w14:textId="2296D2DE" w:rsidR="00115A68" w:rsidRDefault="000A62CA" w:rsidP="0015571B">
            <w:pPr>
              <w:spacing w:line="240" w:lineRule="auto"/>
            </w:pPr>
            <w:r>
              <w:t>*acknowledged by e-mail</w:t>
            </w:r>
          </w:p>
        </w:tc>
        <w:tc>
          <w:tcPr>
            <w:tcW w:w="1178" w:type="dxa"/>
            <w:vAlign w:val="center"/>
          </w:tcPr>
          <w:p w14:paraId="70EE5B2D" w14:textId="79C8F976" w:rsidR="00115A68" w:rsidRDefault="000A62CA" w:rsidP="0015571B">
            <w:pPr>
              <w:spacing w:line="240" w:lineRule="auto"/>
            </w:pPr>
            <w:r>
              <w:t>4/29/2022</w:t>
            </w:r>
          </w:p>
        </w:tc>
      </w:tr>
      <w:tr w:rsidR="00115A68" w14:paraId="1CA688DC" w14:textId="77777777" w:rsidTr="0015571B">
        <w:trPr>
          <w:cantSplit/>
          <w:trHeight w:val="489"/>
        </w:trPr>
        <w:tc>
          <w:tcPr>
            <w:tcW w:w="3279" w:type="dxa"/>
            <w:vAlign w:val="center"/>
          </w:tcPr>
          <w:p w14:paraId="69BC619F" w14:textId="4F20D03F" w:rsidR="00115A68" w:rsidRDefault="00D67D9D" w:rsidP="0015571B">
            <w:pPr>
              <w:spacing w:line="240" w:lineRule="auto"/>
            </w:pPr>
            <w:r>
              <w:lastRenderedPageBreak/>
              <w:t>Jeannine Dingus-Eason</w:t>
            </w:r>
          </w:p>
        </w:tc>
        <w:tc>
          <w:tcPr>
            <w:tcW w:w="3279" w:type="dxa"/>
            <w:vAlign w:val="center"/>
          </w:tcPr>
          <w:p w14:paraId="7AFA00B4" w14:textId="26082BBB" w:rsidR="00115A68" w:rsidRDefault="00D67D9D" w:rsidP="0015571B">
            <w:pPr>
              <w:spacing w:line="240" w:lineRule="auto"/>
            </w:pPr>
            <w:r>
              <w:t>Dean FSEHD</w:t>
            </w:r>
          </w:p>
        </w:tc>
        <w:tc>
          <w:tcPr>
            <w:tcW w:w="3280" w:type="dxa"/>
            <w:vAlign w:val="center"/>
          </w:tcPr>
          <w:p w14:paraId="63F9F878" w14:textId="48991CDE" w:rsidR="00115A68" w:rsidRDefault="00354353" w:rsidP="0015571B">
            <w:pPr>
              <w:spacing w:line="240" w:lineRule="auto"/>
            </w:pPr>
            <w:r>
              <w:rPr>
                <w:i/>
                <w:iCs/>
              </w:rPr>
              <w:t>Jeannine E. Dingus-Eason</w:t>
            </w:r>
          </w:p>
        </w:tc>
        <w:tc>
          <w:tcPr>
            <w:tcW w:w="1178" w:type="dxa"/>
            <w:vAlign w:val="center"/>
          </w:tcPr>
          <w:p w14:paraId="07BDEFD6" w14:textId="7EADD6EF" w:rsidR="00115A68" w:rsidRDefault="00EA7648" w:rsidP="0015571B">
            <w:pPr>
              <w:spacing w:line="240" w:lineRule="auto"/>
            </w:pPr>
            <w:r>
              <w:t>5/6/22</w:t>
            </w:r>
          </w:p>
        </w:tc>
      </w:tr>
      <w:tr w:rsidR="00115A68" w14:paraId="6F8C6D2D" w14:textId="77777777" w:rsidTr="0015571B">
        <w:trPr>
          <w:cantSplit/>
          <w:trHeight w:val="489"/>
        </w:trPr>
        <w:tc>
          <w:tcPr>
            <w:tcW w:w="3279" w:type="dxa"/>
            <w:vAlign w:val="center"/>
          </w:tcPr>
          <w:p w14:paraId="3BDD2887" w14:textId="58A34747" w:rsidR="00115A68" w:rsidRDefault="00115A68" w:rsidP="0015571B">
            <w:pPr>
              <w:spacing w:line="240" w:lineRule="auto"/>
            </w:pPr>
          </w:p>
        </w:tc>
        <w:tc>
          <w:tcPr>
            <w:tcW w:w="3279" w:type="dxa"/>
            <w:vAlign w:val="center"/>
          </w:tcPr>
          <w:p w14:paraId="2E689D42" w14:textId="2C3DC45F"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3F25B52F"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EBF3" w14:textId="77777777" w:rsidR="00962852" w:rsidRDefault="00962852" w:rsidP="00FA78CA">
      <w:pPr>
        <w:spacing w:line="240" w:lineRule="auto"/>
      </w:pPr>
      <w:r>
        <w:separator/>
      </w:r>
    </w:p>
  </w:endnote>
  <w:endnote w:type="continuationSeparator" w:id="0">
    <w:p w14:paraId="21BDD431" w14:textId="77777777" w:rsidR="00962852" w:rsidRDefault="0096285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1000887" w:usb1="09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859C" w14:textId="77777777" w:rsidR="007C337F" w:rsidRDefault="007C3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1252463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3735" w14:textId="77777777" w:rsidR="007C337F" w:rsidRDefault="007C3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1D2C" w14:textId="77777777" w:rsidR="00962852" w:rsidRDefault="00962852" w:rsidP="00FA78CA">
      <w:pPr>
        <w:spacing w:line="240" w:lineRule="auto"/>
      </w:pPr>
      <w:r>
        <w:separator/>
      </w:r>
    </w:p>
  </w:footnote>
  <w:footnote w:type="continuationSeparator" w:id="0">
    <w:p w14:paraId="70FC945B" w14:textId="77777777" w:rsidR="00962852" w:rsidRDefault="0096285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E31C" w14:textId="77777777" w:rsidR="007C337F" w:rsidRDefault="007C3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2A1CC5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9025F">
      <w:rPr>
        <w:color w:val="4F6228"/>
      </w:rPr>
      <w:t>21-22-03</w:t>
    </w:r>
    <w:r w:rsidR="007C337F">
      <w:rPr>
        <w:color w:val="4F6228"/>
      </w:rPr>
      <w:t>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9025F">
      <w:rPr>
        <w:color w:val="4F6228"/>
      </w:rPr>
      <w:t>4/12/2022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3EE0" w14:textId="77777777" w:rsidR="007C337F" w:rsidRDefault="007C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3257D"/>
    <w:rsid w:val="0004554C"/>
    <w:rsid w:val="000556B3"/>
    <w:rsid w:val="00061F48"/>
    <w:rsid w:val="000810FF"/>
    <w:rsid w:val="000A2F02"/>
    <w:rsid w:val="000A36CD"/>
    <w:rsid w:val="000A62CA"/>
    <w:rsid w:val="000D1497"/>
    <w:rsid w:val="000D21F2"/>
    <w:rsid w:val="000E2CBA"/>
    <w:rsid w:val="000F4A33"/>
    <w:rsid w:val="001010FA"/>
    <w:rsid w:val="00101BA4"/>
    <w:rsid w:val="0010291E"/>
    <w:rsid w:val="00103452"/>
    <w:rsid w:val="001144ED"/>
    <w:rsid w:val="00115A68"/>
    <w:rsid w:val="0011690A"/>
    <w:rsid w:val="00120C12"/>
    <w:rsid w:val="00126E3C"/>
    <w:rsid w:val="001278A4"/>
    <w:rsid w:val="0013176C"/>
    <w:rsid w:val="00131B87"/>
    <w:rsid w:val="001429AA"/>
    <w:rsid w:val="0015148B"/>
    <w:rsid w:val="00155826"/>
    <w:rsid w:val="001622D2"/>
    <w:rsid w:val="00175D3F"/>
    <w:rsid w:val="00176C55"/>
    <w:rsid w:val="00181A4B"/>
    <w:rsid w:val="001A1D27"/>
    <w:rsid w:val="001A37FB"/>
    <w:rsid w:val="001A51ED"/>
    <w:rsid w:val="001B2E3A"/>
    <w:rsid w:val="001C3A09"/>
    <w:rsid w:val="001E2AEF"/>
    <w:rsid w:val="0020058E"/>
    <w:rsid w:val="00210F18"/>
    <w:rsid w:val="00237355"/>
    <w:rsid w:val="00241866"/>
    <w:rsid w:val="00251B51"/>
    <w:rsid w:val="002578DB"/>
    <w:rsid w:val="00263D78"/>
    <w:rsid w:val="0026461B"/>
    <w:rsid w:val="0027634D"/>
    <w:rsid w:val="00284473"/>
    <w:rsid w:val="00290E18"/>
    <w:rsid w:val="00292D43"/>
    <w:rsid w:val="00293639"/>
    <w:rsid w:val="00296BA1"/>
    <w:rsid w:val="0029768B"/>
    <w:rsid w:val="002A3788"/>
    <w:rsid w:val="002B1FF7"/>
    <w:rsid w:val="002B24F6"/>
    <w:rsid w:val="002B7880"/>
    <w:rsid w:val="002C3431"/>
    <w:rsid w:val="002C3D63"/>
    <w:rsid w:val="002D0316"/>
    <w:rsid w:val="002D194C"/>
    <w:rsid w:val="002F36B8"/>
    <w:rsid w:val="00310D95"/>
    <w:rsid w:val="003153C3"/>
    <w:rsid w:val="00345149"/>
    <w:rsid w:val="00354353"/>
    <w:rsid w:val="0037253D"/>
    <w:rsid w:val="00376A8B"/>
    <w:rsid w:val="003A45F6"/>
    <w:rsid w:val="003B4A52"/>
    <w:rsid w:val="003C023F"/>
    <w:rsid w:val="003C1A54"/>
    <w:rsid w:val="003C511E"/>
    <w:rsid w:val="003C67E4"/>
    <w:rsid w:val="003D7372"/>
    <w:rsid w:val="003E539A"/>
    <w:rsid w:val="003F099C"/>
    <w:rsid w:val="003F4E82"/>
    <w:rsid w:val="003F6B62"/>
    <w:rsid w:val="00402602"/>
    <w:rsid w:val="004105B6"/>
    <w:rsid w:val="00423E81"/>
    <w:rsid w:val="004254A0"/>
    <w:rsid w:val="00426C3A"/>
    <w:rsid w:val="004313E6"/>
    <w:rsid w:val="004403BD"/>
    <w:rsid w:val="00442EEA"/>
    <w:rsid w:val="00475EB9"/>
    <w:rsid w:val="004779B4"/>
    <w:rsid w:val="00480FAA"/>
    <w:rsid w:val="004A54F7"/>
    <w:rsid w:val="004D180F"/>
    <w:rsid w:val="004E57C5"/>
    <w:rsid w:val="004E79A5"/>
    <w:rsid w:val="00517DB2"/>
    <w:rsid w:val="00526851"/>
    <w:rsid w:val="00541F11"/>
    <w:rsid w:val="005473BC"/>
    <w:rsid w:val="005517F2"/>
    <w:rsid w:val="00560BB2"/>
    <w:rsid w:val="00564207"/>
    <w:rsid w:val="00581C78"/>
    <w:rsid w:val="0058252B"/>
    <w:rsid w:val="005851AF"/>
    <w:rsid w:val="005873E3"/>
    <w:rsid w:val="00593311"/>
    <w:rsid w:val="005B1049"/>
    <w:rsid w:val="005C23BD"/>
    <w:rsid w:val="005C3F83"/>
    <w:rsid w:val="005D389E"/>
    <w:rsid w:val="005E2D3D"/>
    <w:rsid w:val="005F2A05"/>
    <w:rsid w:val="0061535B"/>
    <w:rsid w:val="00632E05"/>
    <w:rsid w:val="006469C5"/>
    <w:rsid w:val="006575EA"/>
    <w:rsid w:val="00670869"/>
    <w:rsid w:val="006761E1"/>
    <w:rsid w:val="00683987"/>
    <w:rsid w:val="006970B0"/>
    <w:rsid w:val="006B20A9"/>
    <w:rsid w:val="006D2E29"/>
    <w:rsid w:val="006E365C"/>
    <w:rsid w:val="006E3AF2"/>
    <w:rsid w:val="006E6680"/>
    <w:rsid w:val="006F7F90"/>
    <w:rsid w:val="00704CFF"/>
    <w:rsid w:val="00705819"/>
    <w:rsid w:val="00706745"/>
    <w:rsid w:val="007072F7"/>
    <w:rsid w:val="00714B57"/>
    <w:rsid w:val="0071544D"/>
    <w:rsid w:val="0074235B"/>
    <w:rsid w:val="00743AD2"/>
    <w:rsid w:val="007445F4"/>
    <w:rsid w:val="007554DE"/>
    <w:rsid w:val="00760EA6"/>
    <w:rsid w:val="00766256"/>
    <w:rsid w:val="00795C10"/>
    <w:rsid w:val="00795D54"/>
    <w:rsid w:val="00796AF7"/>
    <w:rsid w:val="007970C3"/>
    <w:rsid w:val="007A5702"/>
    <w:rsid w:val="007B10BE"/>
    <w:rsid w:val="007C337F"/>
    <w:rsid w:val="007F4255"/>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24B54"/>
    <w:rsid w:val="00936421"/>
    <w:rsid w:val="009458D2"/>
    <w:rsid w:val="00946B20"/>
    <w:rsid w:val="009527EE"/>
    <w:rsid w:val="00962852"/>
    <w:rsid w:val="0098046D"/>
    <w:rsid w:val="00984B36"/>
    <w:rsid w:val="009A4E6F"/>
    <w:rsid w:val="009A58C1"/>
    <w:rsid w:val="009B4B02"/>
    <w:rsid w:val="009C1440"/>
    <w:rsid w:val="009C1DCB"/>
    <w:rsid w:val="009F029C"/>
    <w:rsid w:val="009F16A0"/>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B1"/>
    <w:rsid w:val="00AE78C2"/>
    <w:rsid w:val="00AE7A3D"/>
    <w:rsid w:val="00B12BAB"/>
    <w:rsid w:val="00B20954"/>
    <w:rsid w:val="00B24AAC"/>
    <w:rsid w:val="00B26F16"/>
    <w:rsid w:val="00B35315"/>
    <w:rsid w:val="00B4771F"/>
    <w:rsid w:val="00B4784B"/>
    <w:rsid w:val="00B51B79"/>
    <w:rsid w:val="00B605CE"/>
    <w:rsid w:val="00B649C4"/>
    <w:rsid w:val="00B6522F"/>
    <w:rsid w:val="00B77369"/>
    <w:rsid w:val="00B82B64"/>
    <w:rsid w:val="00B85F49"/>
    <w:rsid w:val="00B862BF"/>
    <w:rsid w:val="00B87B39"/>
    <w:rsid w:val="00BB11B9"/>
    <w:rsid w:val="00BC2A73"/>
    <w:rsid w:val="00BC42B6"/>
    <w:rsid w:val="00BD219F"/>
    <w:rsid w:val="00BF1795"/>
    <w:rsid w:val="00BF30C5"/>
    <w:rsid w:val="00C0654C"/>
    <w:rsid w:val="00C11283"/>
    <w:rsid w:val="00C2045D"/>
    <w:rsid w:val="00C25F9D"/>
    <w:rsid w:val="00C31E83"/>
    <w:rsid w:val="00C344AB"/>
    <w:rsid w:val="00C518C1"/>
    <w:rsid w:val="00C53751"/>
    <w:rsid w:val="00C61286"/>
    <w:rsid w:val="00C63F4F"/>
    <w:rsid w:val="00C903AE"/>
    <w:rsid w:val="00C94576"/>
    <w:rsid w:val="00C95F65"/>
    <w:rsid w:val="00C969FA"/>
    <w:rsid w:val="00C97577"/>
    <w:rsid w:val="00CA71A8"/>
    <w:rsid w:val="00CB5F1E"/>
    <w:rsid w:val="00CC03A7"/>
    <w:rsid w:val="00CC3E7A"/>
    <w:rsid w:val="00CD18DD"/>
    <w:rsid w:val="00CD4615"/>
    <w:rsid w:val="00CF0458"/>
    <w:rsid w:val="00CF0A1D"/>
    <w:rsid w:val="00D04A57"/>
    <w:rsid w:val="00D2781B"/>
    <w:rsid w:val="00D553BB"/>
    <w:rsid w:val="00D56C09"/>
    <w:rsid w:val="00D64DF4"/>
    <w:rsid w:val="00D65F02"/>
    <w:rsid w:val="00D67D9D"/>
    <w:rsid w:val="00D75B84"/>
    <w:rsid w:val="00D75FF8"/>
    <w:rsid w:val="00D968DA"/>
    <w:rsid w:val="00D96C1E"/>
    <w:rsid w:val="00DA1CC6"/>
    <w:rsid w:val="00DA73A0"/>
    <w:rsid w:val="00DB23D4"/>
    <w:rsid w:val="00DB63D4"/>
    <w:rsid w:val="00DB7E95"/>
    <w:rsid w:val="00DC15D9"/>
    <w:rsid w:val="00DD69AE"/>
    <w:rsid w:val="00DE2B7A"/>
    <w:rsid w:val="00DF4FCD"/>
    <w:rsid w:val="00DF7C07"/>
    <w:rsid w:val="00E36AF7"/>
    <w:rsid w:val="00E4755D"/>
    <w:rsid w:val="00E500F9"/>
    <w:rsid w:val="00E641DE"/>
    <w:rsid w:val="00E9025F"/>
    <w:rsid w:val="00EA6B77"/>
    <w:rsid w:val="00EA7648"/>
    <w:rsid w:val="00EB33FD"/>
    <w:rsid w:val="00EC194E"/>
    <w:rsid w:val="00EC38F4"/>
    <w:rsid w:val="00EC63A4"/>
    <w:rsid w:val="00EC7B24"/>
    <w:rsid w:val="00ED0D58"/>
    <w:rsid w:val="00ED1712"/>
    <w:rsid w:val="00EE0A74"/>
    <w:rsid w:val="00F15B95"/>
    <w:rsid w:val="00F3256C"/>
    <w:rsid w:val="00F32980"/>
    <w:rsid w:val="00F409A9"/>
    <w:rsid w:val="00F42F5D"/>
    <w:rsid w:val="00F43EF3"/>
    <w:rsid w:val="00F50687"/>
    <w:rsid w:val="00F62BE0"/>
    <w:rsid w:val="00F64260"/>
    <w:rsid w:val="00F8288D"/>
    <w:rsid w:val="00F84B65"/>
    <w:rsid w:val="00F871BA"/>
    <w:rsid w:val="00FA6359"/>
    <w:rsid w:val="00FA6998"/>
    <w:rsid w:val="00FA769F"/>
    <w:rsid w:val="00FA78CA"/>
    <w:rsid w:val="00FB1042"/>
    <w:rsid w:val="00FB6C36"/>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markm\Downloads\Check%20relevant%20JAAs,%202+2s,%20and%20if%20a%20course%20you%20are%20revising%20or%20deleting%20is%20one%20with%20a%20transfer%20agreement"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67Z3ZXSPZZWZ-949-1340</_dlc_DocId>
    <_dlc_DocIdUrl xmlns="67887a43-7e4d-4c1c-91d7-15e417b1b8ab">
      <Url>https://w3.ric.edu/curriculum_committee/_layouts/15/DocIdRedir.aspx?ID=67Z3ZXSPZZWZ-949-1340</Url>
      <Description>67Z3ZXSPZZWZ-949-1340</Description>
    </_dlc_DocIdUrl>
  </documentManagement>
</p:properties>
</file>

<file path=customXml/itemProps1.xml><?xml version="1.0" encoding="utf-8"?>
<ds:datastoreItem xmlns:ds="http://schemas.openxmlformats.org/officeDocument/2006/customXml" ds:itemID="{8FDE9130-621F-4F19-B1FC-99905CAC03EE}"/>
</file>

<file path=customXml/itemProps2.xml><?xml version="1.0" encoding="utf-8"?>
<ds:datastoreItem xmlns:ds="http://schemas.openxmlformats.org/officeDocument/2006/customXml" ds:itemID="{1D6A4092-7D11-475A-A194-541115DF361A}"/>
</file>

<file path=customXml/itemProps3.xml><?xml version="1.0" encoding="utf-8"?>
<ds:datastoreItem xmlns:ds="http://schemas.openxmlformats.org/officeDocument/2006/customXml" ds:itemID="{7FB4D157-1F2B-4ADA-A478-7E5E6F9CE66A}"/>
</file>

<file path=customXml/itemProps4.xml><?xml version="1.0" encoding="utf-8"?>
<ds:datastoreItem xmlns:ds="http://schemas.openxmlformats.org/officeDocument/2006/customXml" ds:itemID="{13C58CC1-563D-45FE-B69B-FE9C13E75817}"/>
</file>

<file path=docProps/app.xml><?xml version="1.0" encoding="utf-8"?>
<Properties xmlns="http://schemas.openxmlformats.org/officeDocument/2006/extended-properties" xmlns:vt="http://schemas.openxmlformats.org/officeDocument/2006/docPropsVTypes">
  <Template>Normal.dotm</Template>
  <TotalTime>48</TotalTime>
  <Pages>4</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17</cp:revision>
  <cp:lastPrinted>2015-10-02T15:20:00Z</cp:lastPrinted>
  <dcterms:created xsi:type="dcterms:W3CDTF">2022-03-18T12:21:00Z</dcterms:created>
  <dcterms:modified xsi:type="dcterms:W3CDTF">2022-05-06T21:28:00Z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d28e2966-a1ae-4cec-b838-10040dff9e4c</vt:lpwstr>
  </property>
  <property fmtid="{D5CDD505-2E9C-101B-9397-08002B2CF9AE}" pid="4" name="ContentTypeId">
    <vt:lpwstr>0x0101009736D43DC7C38546B966A7508121890B</vt:lpwstr>
  </property>
</Properties>
</file>