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989D5D3" w:rsidR="00F32311" w:rsidRPr="00F32311" w:rsidRDefault="003C23FA" w:rsidP="006B01C6">
            <w:pPr>
              <w:pStyle w:val="Heading5"/>
            </w:pPr>
            <w:bookmarkStart w:id="0" w:name="Proposal"/>
            <w:bookmarkEnd w:id="0"/>
            <w:r>
              <w:rPr>
                <w:b/>
                <w:bCs/>
              </w:rPr>
              <w:t>minor</w:t>
            </w:r>
            <w:r w:rsidRPr="079D2B01">
              <w:rPr>
                <w:b/>
                <w:bCs/>
              </w:rPr>
              <w:t xml:space="preserve">: </w:t>
            </w:r>
            <w:r w:rsidRPr="000B598E">
              <w:rPr>
                <w:b/>
                <w:bCs/>
              </w:rPr>
              <w:t xml:space="preserve">Community &amp; Public Health </w:t>
            </w:r>
            <w:r w:rsidR="000B598E">
              <w:rPr>
                <w:b/>
                <w:bCs/>
              </w:rPr>
              <w:t>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4447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9DBC809" w:rsidR="00F64260" w:rsidRPr="00A83A6C" w:rsidRDefault="003C23FA" w:rsidP="00B862BF">
            <w:pPr>
              <w:pStyle w:val="Heading5"/>
              <w:rPr>
                <w:b/>
              </w:rPr>
            </w:pPr>
            <w:bookmarkStart w:id="3" w:name="Ifapplicable"/>
            <w:bookmarkEnd w:id="3"/>
            <w:r>
              <w:rPr>
                <w:b/>
              </w:rPr>
              <w:t>N/A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4528BF1"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2155570" w:rsidR="00F64260" w:rsidRPr="00B605CE" w:rsidRDefault="003C23FA" w:rsidP="00B862BF">
            <w:pPr>
              <w:rPr>
                <w:b/>
              </w:rPr>
            </w:pPr>
            <w:bookmarkStart w:id="4" w:name="Originator"/>
            <w:bookmarkEnd w:id="4"/>
            <w:r>
              <w:rPr>
                <w:b/>
              </w:rPr>
              <w:t>Elizabeth S. England-Kennedy</w:t>
            </w:r>
          </w:p>
        </w:tc>
        <w:tc>
          <w:tcPr>
            <w:tcW w:w="1210" w:type="pct"/>
          </w:tcPr>
          <w:p w14:paraId="788D9512" w14:textId="412608F0" w:rsidR="00F64260" w:rsidRPr="00946B20" w:rsidRDefault="003C23FA" w:rsidP="00B862BF">
            <w:r>
              <w:t xml:space="preserve">Department </w:t>
            </w:r>
          </w:p>
        </w:tc>
        <w:tc>
          <w:tcPr>
            <w:tcW w:w="1519" w:type="pct"/>
            <w:gridSpan w:val="3"/>
          </w:tcPr>
          <w:p w14:paraId="6A9CD084" w14:textId="2B3C3E12" w:rsidR="00F64260" w:rsidRPr="00B605CE" w:rsidRDefault="006B01C6" w:rsidP="00B862BF">
            <w:pPr>
              <w:rPr>
                <w:b/>
              </w:rPr>
            </w:pPr>
            <w:bookmarkStart w:id="5" w:name="home_dept"/>
            <w:bookmarkEnd w:id="5"/>
            <w:r>
              <w:t>Health &amp; Physical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B687CFA" w14:textId="0206EB19" w:rsidR="00F64260" w:rsidRDefault="00094FD0">
            <w:pPr>
              <w:spacing w:line="240" w:lineRule="auto"/>
              <w:rPr>
                <w:bCs/>
              </w:rPr>
            </w:pPr>
            <w:bookmarkStart w:id="6" w:name="Rationale"/>
            <w:bookmarkEnd w:id="6"/>
            <w:r>
              <w:rPr>
                <w:b/>
              </w:rPr>
              <w:t xml:space="preserve">Context and </w:t>
            </w:r>
            <w:r w:rsidRPr="00094FD0">
              <w:rPr>
                <w:b/>
              </w:rPr>
              <w:t>Rationale for Changes</w:t>
            </w:r>
            <w:r>
              <w:rPr>
                <w:bCs/>
              </w:rPr>
              <w:t xml:space="preserve">: Community and Public Health Promotion is a major with three concentrations. There is currently no minor within this major. However, students and faculty in departments such as Psychology, Anthropology, Health Sciences, and Nursing have expressed interest in availability of a minor in Community and Public Health </w:t>
            </w:r>
            <w:r w:rsidR="00F32311">
              <w:rPr>
                <w:bCs/>
              </w:rPr>
              <w:t>P</w:t>
            </w:r>
            <w:r>
              <w:rPr>
                <w:bCs/>
              </w:rPr>
              <w:t xml:space="preserve">romotion, as have students in other majors within the Health and Physical Education Department. According to our research on other accredited Health Promotion BS programs, minors are frequently made available to students </w:t>
            </w:r>
            <w:r w:rsidR="00F32311">
              <w:rPr>
                <w:bCs/>
              </w:rPr>
              <w:t xml:space="preserve">who are </w:t>
            </w:r>
            <w:r>
              <w:rPr>
                <w:bCs/>
              </w:rPr>
              <w:t xml:space="preserve">enrolled in other majors. </w:t>
            </w:r>
          </w:p>
          <w:p w14:paraId="51FA44AE" w14:textId="0929ADF1" w:rsidR="00094FD0" w:rsidRDefault="00094FD0">
            <w:pPr>
              <w:spacing w:line="240" w:lineRule="auto"/>
              <w:rPr>
                <w:bCs/>
              </w:rPr>
            </w:pPr>
          </w:p>
          <w:p w14:paraId="57FA8C94" w14:textId="6F63FF1A" w:rsidR="00F64260" w:rsidRDefault="00094FD0">
            <w:pPr>
              <w:spacing w:line="240" w:lineRule="auto"/>
              <w:rPr>
                <w:bCs/>
              </w:rPr>
            </w:pPr>
            <w:r>
              <w:rPr>
                <w:bCs/>
              </w:rPr>
              <w:t xml:space="preserve">Because the courses offered for the proposed minor are already </w:t>
            </w:r>
            <w:r w:rsidR="00DD2F36">
              <w:rPr>
                <w:bCs/>
              </w:rPr>
              <w:t>offered within the major, the department will be able to offer the minor-specific courses without additional personnel or resource requirements. No changes will be made to the major itself nor to the courses themselves. There are no admissions requirements for the minor, but existing prerequisites for courses will apply for students pursuing the minor</w:t>
            </w:r>
            <w:r w:rsidR="00271C9B">
              <w:rPr>
                <w:bCs/>
              </w:rPr>
              <w:t>, and will be noted beneath the program description to alert students to what they might need</w:t>
            </w:r>
            <w:r w:rsidR="00DD2F36">
              <w:rPr>
                <w:bCs/>
              </w:rPr>
              <w:t>.</w:t>
            </w:r>
          </w:p>
          <w:p w14:paraId="71110602" w14:textId="3520625A" w:rsidR="00B27BF9" w:rsidRDefault="00B27BF9">
            <w:pPr>
              <w:spacing w:line="240" w:lineRule="auto"/>
            </w:pPr>
          </w:p>
          <w:p w14:paraId="015232A6" w14:textId="1F4E03DC" w:rsidR="00881769" w:rsidRDefault="00B27BF9">
            <w:pPr>
              <w:spacing w:line="240" w:lineRule="auto"/>
            </w:pPr>
            <w:r>
              <w:t>In order to enhance students’ ability to individualize their education, options in the minor include multiple opportunities to select courses from within sets</w:t>
            </w:r>
            <w:r w:rsidR="00881769">
              <w:t>:</w:t>
            </w:r>
            <w:r>
              <w:t xml:space="preserve"> </w:t>
            </w:r>
          </w:p>
          <w:p w14:paraId="1152FC20" w14:textId="4BEAE5B3" w:rsidR="00881769" w:rsidRDefault="00B27BF9" w:rsidP="00881769">
            <w:pPr>
              <w:pStyle w:val="ListParagraph"/>
              <w:numPr>
                <w:ilvl w:val="0"/>
                <w:numId w:val="12"/>
              </w:numPr>
              <w:spacing w:line="240" w:lineRule="auto"/>
            </w:pPr>
            <w:r>
              <w:t xml:space="preserve">The </w:t>
            </w:r>
            <w:r w:rsidRPr="00881769">
              <w:rPr>
                <w:b/>
                <w:bCs/>
              </w:rPr>
              <w:t xml:space="preserve">Minor Core </w:t>
            </w:r>
            <w:r w:rsidR="00744D8C" w:rsidRPr="00881769">
              <w:rPr>
                <w:b/>
                <w:bCs/>
              </w:rPr>
              <w:t>Foundation</w:t>
            </w:r>
            <w:r>
              <w:t xml:space="preserve"> </w:t>
            </w:r>
            <w:r w:rsidR="00881769">
              <w:t xml:space="preserve">courses </w:t>
            </w:r>
            <w:r w:rsidR="00F32311">
              <w:t xml:space="preserve">(3 for a total of 9 credits) </w:t>
            </w:r>
            <w:r>
              <w:t>are required for all students</w:t>
            </w:r>
            <w:r w:rsidR="00881769">
              <w:t>. These</w:t>
            </w:r>
            <w:r>
              <w:t xml:space="preserve"> provide a foundation in human health and disease</w:t>
            </w:r>
            <w:r w:rsidR="00F32311">
              <w:t xml:space="preserve"> (HPE 102)</w:t>
            </w:r>
            <w:r>
              <w:t xml:space="preserve">; the structures, </w:t>
            </w:r>
            <w:r w:rsidR="00881769">
              <w:t xml:space="preserve">functions, </w:t>
            </w:r>
            <w:r>
              <w:t>organizations, and processes of public and community health systems</w:t>
            </w:r>
            <w:r w:rsidR="00F32311">
              <w:t xml:space="preserve"> (HPE 202)</w:t>
            </w:r>
            <w:r>
              <w:t xml:space="preserve">; and </w:t>
            </w:r>
            <w:r w:rsidR="00881769">
              <w:t xml:space="preserve">epidemiological </w:t>
            </w:r>
            <w:r>
              <w:t>patterns of health and disease, use of publicly-available databases, and epidemiological approaches to health promotion</w:t>
            </w:r>
            <w:r w:rsidR="00F32311">
              <w:t xml:space="preserve">  (HPE 307)</w:t>
            </w:r>
            <w:r>
              <w:t xml:space="preserve">. </w:t>
            </w:r>
          </w:p>
          <w:p w14:paraId="6EE0AEEE" w14:textId="7BDC8584" w:rsidR="00881769" w:rsidRDefault="00D615E4" w:rsidP="00881769">
            <w:pPr>
              <w:pStyle w:val="ListParagraph"/>
              <w:numPr>
                <w:ilvl w:val="0"/>
                <w:numId w:val="12"/>
              </w:numPr>
              <w:spacing w:line="240" w:lineRule="auto"/>
            </w:pPr>
            <w:r>
              <w:t xml:space="preserve">Students will choose from one of </w:t>
            </w:r>
            <w:r w:rsidR="002D04F9">
              <w:t>three</w:t>
            </w:r>
            <w:r>
              <w:t xml:space="preserve"> </w:t>
            </w:r>
            <w:r w:rsidRPr="00881769">
              <w:rPr>
                <w:b/>
                <w:bCs/>
              </w:rPr>
              <w:t>Professional Co</w:t>
            </w:r>
            <w:r w:rsidR="00744D8C" w:rsidRPr="00881769">
              <w:rPr>
                <w:b/>
                <w:bCs/>
              </w:rPr>
              <w:t>urses</w:t>
            </w:r>
            <w:r w:rsidR="00F32311">
              <w:rPr>
                <w:b/>
                <w:bCs/>
              </w:rPr>
              <w:t xml:space="preserve"> </w:t>
            </w:r>
            <w:r w:rsidR="00F32311" w:rsidRPr="00F32311">
              <w:t>(3 credits)</w:t>
            </w:r>
            <w:r w:rsidR="00881769" w:rsidRPr="00F32311">
              <w:t>:</w:t>
            </w:r>
            <w:r w:rsidRPr="00881769">
              <w:t xml:space="preserve"> </w:t>
            </w:r>
            <w:r w:rsidR="00881769">
              <w:t>O</w:t>
            </w:r>
            <w:r>
              <w:t xml:space="preserve">ne that focuses on </w:t>
            </w:r>
            <w:r w:rsidR="00F32311">
              <w:t xml:space="preserve">health advocacy and global health (HPE 233); one </w:t>
            </w:r>
            <w:r w:rsidR="00F32311" w:rsidRPr="00352724">
              <w:t xml:space="preserve">that focuses on </w:t>
            </w:r>
            <w:r w:rsidRPr="00352724">
              <w:t>health education and pedagogy for public and community settings</w:t>
            </w:r>
            <w:r w:rsidR="00F32311" w:rsidRPr="00352724">
              <w:t xml:space="preserve"> (HPE 300);</w:t>
            </w:r>
            <w:r w:rsidRPr="00352724">
              <w:t xml:space="preserve"> and</w:t>
            </w:r>
            <w:r>
              <w:t xml:space="preserve"> one that focuses on </w:t>
            </w:r>
            <w:r w:rsidR="00F32311">
              <w:t>integrated systems within community and public health, health-focused policy and programming, and research using community and public heath databases (HPE 303)</w:t>
            </w:r>
            <w:r>
              <w:t xml:space="preserve">. </w:t>
            </w:r>
          </w:p>
          <w:p w14:paraId="5FAADBBA" w14:textId="785E811F" w:rsidR="00881769" w:rsidRDefault="00D615E4" w:rsidP="00881769">
            <w:pPr>
              <w:pStyle w:val="ListParagraph"/>
              <w:numPr>
                <w:ilvl w:val="0"/>
                <w:numId w:val="12"/>
              </w:numPr>
              <w:spacing w:line="240" w:lineRule="auto"/>
            </w:pPr>
            <w:r>
              <w:lastRenderedPageBreak/>
              <w:t xml:space="preserve">Finally, students will have </w:t>
            </w:r>
            <w:r w:rsidR="00F32311">
              <w:t>choose two classes</w:t>
            </w:r>
            <w:r>
              <w:t xml:space="preserve"> </w:t>
            </w:r>
            <w:r w:rsidR="00F32311">
              <w:t>(a total of 6</w:t>
            </w:r>
            <w:r w:rsidR="00A716AA">
              <w:t>-8</w:t>
            </w:r>
            <w:r w:rsidR="00F32311">
              <w:t xml:space="preserve"> credits) </w:t>
            </w:r>
            <w:r>
              <w:t xml:space="preserve">within the </w:t>
            </w:r>
            <w:r w:rsidRPr="00881769">
              <w:rPr>
                <w:b/>
                <w:bCs/>
              </w:rPr>
              <w:t>Content</w:t>
            </w:r>
            <w:r w:rsidR="00F10220">
              <w:rPr>
                <w:b/>
                <w:bCs/>
              </w:rPr>
              <w:t xml:space="preserve"> </w:t>
            </w:r>
            <w:r w:rsidR="00881769" w:rsidRPr="00881769">
              <w:rPr>
                <w:b/>
                <w:bCs/>
              </w:rPr>
              <w:t>Area</w:t>
            </w:r>
            <w:r w:rsidRPr="00881769">
              <w:rPr>
                <w:b/>
                <w:bCs/>
              </w:rPr>
              <w:t xml:space="preserve"> Courses</w:t>
            </w:r>
            <w:r w:rsidR="00F32311">
              <w:rPr>
                <w:b/>
                <w:bCs/>
              </w:rPr>
              <w:t xml:space="preserve">, </w:t>
            </w:r>
            <w:r>
              <w:t>a set of</w:t>
            </w:r>
            <w:r w:rsidR="004F4683">
              <w:t xml:space="preserve"> 1</w:t>
            </w:r>
            <w:r w:rsidR="00CB4E88">
              <w:t>4</w:t>
            </w:r>
            <w:r w:rsidR="006B01C6">
              <w:t xml:space="preserve"> </w:t>
            </w:r>
            <w:r>
              <w:t xml:space="preserve">topical courses that focus on content that is often focal in community and public health promotion programming. </w:t>
            </w:r>
          </w:p>
          <w:p w14:paraId="41EFFC68" w14:textId="77777777" w:rsidR="00F64260" w:rsidRPr="00FA6998" w:rsidRDefault="00F64260" w:rsidP="00352724">
            <w:pPr>
              <w:pStyle w:val="ListParagraph"/>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6C8C363" w14:textId="31E5C9B1" w:rsidR="00517DB2" w:rsidRDefault="004C5615" w:rsidP="00DD2F36">
            <w:pPr>
              <w:rPr>
                <w:bCs/>
                <w:highlight w:val="white"/>
              </w:rPr>
            </w:pPr>
            <w:bookmarkStart w:id="7" w:name="student_impact"/>
            <w:bookmarkEnd w:id="7"/>
            <w:r w:rsidRPr="00DD2F36">
              <w:rPr>
                <w:bCs/>
              </w:rPr>
              <w:t xml:space="preserve">Students will have an additional choice of minor </w:t>
            </w:r>
            <w:r w:rsidR="005C4DAD">
              <w:rPr>
                <w:bCs/>
              </w:rPr>
              <w:t xml:space="preserve">to </w:t>
            </w:r>
            <w:r w:rsidRPr="00DD2F36">
              <w:rPr>
                <w:bCs/>
              </w:rPr>
              <w:t xml:space="preserve">expand possibilities for professional positions after graduation. </w:t>
            </w:r>
            <w:r w:rsidR="00DD2F36" w:rsidRPr="00DD2F36">
              <w:rPr>
                <w:bCs/>
              </w:rPr>
              <w:t xml:space="preserve">Students will have the opportunity to broaden their knowledge and expand their opportunities for employment and graduate work in fields related to community and public health. Enriched opportunities for enhancing interdisciplinary and transdisciplinary knowledge related to this concentration will </w:t>
            </w:r>
            <w:r w:rsidR="00DD2F36" w:rsidRPr="00DD2F36">
              <w:rPr>
                <w:bCs/>
                <w:highlight w:val="white"/>
              </w:rPr>
              <w:t xml:space="preserve">enhance professional preparation of students in a variety of majors, including but not limited to the </w:t>
            </w:r>
            <w:r w:rsidR="00DD2F36" w:rsidRPr="00DD2F36">
              <w:rPr>
                <w:bCs/>
              </w:rPr>
              <w:t>health professions, social work, youth development. biology-related positions, psychology, sociology, anthropology, health care administration, and health sciences</w:t>
            </w:r>
            <w:r w:rsidR="00DD2F36" w:rsidRPr="00DD2F36">
              <w:rPr>
                <w:bCs/>
                <w:highlight w:val="white"/>
              </w:rPr>
              <w:t xml:space="preserve">. </w:t>
            </w:r>
          </w:p>
          <w:p w14:paraId="1AE3A1F6" w14:textId="29C921DA" w:rsidR="00094E14" w:rsidRDefault="00094E14" w:rsidP="00DD2F36">
            <w:pPr>
              <w:rPr>
                <w:bCs/>
                <w:highlight w:val="white"/>
              </w:rPr>
            </w:pPr>
          </w:p>
          <w:p w14:paraId="0194753B" w14:textId="5777698F" w:rsidR="00094E14" w:rsidRPr="00DD2F36" w:rsidRDefault="0072301B" w:rsidP="00DD2F36">
            <w:pPr>
              <w:rPr>
                <w:bCs/>
                <w:highlight w:val="white"/>
              </w:rPr>
            </w:pPr>
            <w:r>
              <w:rPr>
                <w:bCs/>
              </w:rPr>
              <w:t>The minor is open to all RIC students</w:t>
            </w:r>
            <w:r w:rsidR="005C4DAD">
              <w:rPr>
                <w:bCs/>
              </w:rPr>
              <w:t xml:space="preserve"> other than CPHP majors</w:t>
            </w:r>
            <w:r>
              <w:rPr>
                <w:bCs/>
              </w:rPr>
              <w:t xml:space="preserve">. </w:t>
            </w:r>
            <w:r w:rsidR="00094E14">
              <w:rPr>
                <w:bCs/>
                <w:highlight w:val="white"/>
              </w:rPr>
              <w:t>Students who have taken one of the courses in the proposed minor as fulfillment for requirements of majors other than CPHP, to meet general education requirements</w:t>
            </w:r>
            <w:r w:rsidR="002D04F9">
              <w:rPr>
                <w:bCs/>
                <w:highlight w:val="white"/>
              </w:rPr>
              <w:t xml:space="preserve"> </w:t>
            </w:r>
            <w:r w:rsidR="00094E14">
              <w:rPr>
                <w:bCs/>
                <w:highlight w:val="white"/>
              </w:rPr>
              <w:t xml:space="preserve">and/or as free electives will be able to credit those courses toward the proposed minor’s requirements as well.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8907CC" w14:textId="77777777" w:rsidR="00094E14" w:rsidRDefault="00094E14" w:rsidP="00517DB2">
            <w:pPr>
              <w:rPr>
                <w:bCs/>
              </w:rPr>
            </w:pPr>
            <w:bookmarkStart w:id="8" w:name="prog_impact"/>
            <w:bookmarkEnd w:id="8"/>
          </w:p>
          <w:p w14:paraId="7EA002B7" w14:textId="3DF6D529" w:rsidR="00352724" w:rsidRDefault="00633587" w:rsidP="00517DB2">
            <w:pPr>
              <w:rPr>
                <w:bCs/>
              </w:rPr>
            </w:pPr>
            <w:r>
              <w:rPr>
                <w:bCs/>
              </w:rPr>
              <w:t xml:space="preserve">There is potentially impact </w:t>
            </w:r>
            <w:r w:rsidR="004F4683">
              <w:rPr>
                <w:bCs/>
              </w:rPr>
              <w:t xml:space="preserve">the Anthropology, Communications, </w:t>
            </w:r>
            <w:r>
              <w:rPr>
                <w:bCs/>
              </w:rPr>
              <w:t xml:space="preserve"> </w:t>
            </w:r>
            <w:r w:rsidR="004F4683">
              <w:rPr>
                <w:bCs/>
              </w:rPr>
              <w:t xml:space="preserve">Gender and Women’s Studies, Psychology, and Sociology </w:t>
            </w:r>
            <w:r>
              <w:rPr>
                <w:bCs/>
              </w:rPr>
              <w:t>departments, as we are including courses from these departments in our list of Content Area Courses. These courses may see additional enrollment. However, we expect these increases to be distributed among these classes and do not predict a significant increase in enrollment that would lead to a need for additional sections of these courses</w:t>
            </w:r>
            <w:r w:rsidR="004F4683">
              <w:rPr>
                <w:bCs/>
              </w:rPr>
              <w:t xml:space="preserve"> or additional hiring</w:t>
            </w:r>
            <w:r>
              <w:rPr>
                <w:bCs/>
              </w:rPr>
              <w:t xml:space="preserve">. </w:t>
            </w:r>
          </w:p>
          <w:p w14:paraId="5EA53667" w14:textId="77777777" w:rsidR="00633587" w:rsidRDefault="00633587" w:rsidP="00517DB2">
            <w:pPr>
              <w:rPr>
                <w:bCs/>
              </w:rPr>
            </w:pPr>
          </w:p>
          <w:p w14:paraId="45C3A50E" w14:textId="6CAAE605" w:rsidR="00094E14" w:rsidRPr="00DD2F36" w:rsidRDefault="004C5615" w:rsidP="00517DB2">
            <w:pPr>
              <w:rPr>
                <w:bCs/>
              </w:rPr>
            </w:pPr>
            <w:r w:rsidRPr="00DD2F36">
              <w:rPr>
                <w:bCs/>
              </w:rPr>
              <w:t>There is no direct impact on other programs. There is an indirect impact of increased availability of academic minors for students in their departments.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4447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9DB371C" w:rsidR="008D52B7" w:rsidRPr="00C25F9D" w:rsidRDefault="00651D3A" w:rsidP="008D52B7">
            <w:pPr>
              <w:rPr>
                <w:b/>
              </w:rPr>
            </w:pPr>
            <w:r>
              <w:rPr>
                <w:b/>
              </w:rPr>
              <w:t xml:space="preserve">Potentially larger class sizes and/or additional sections of </w:t>
            </w:r>
            <w:r w:rsidR="002D04F9">
              <w:rPr>
                <w:b/>
              </w:rPr>
              <w:t xml:space="preserve">HPE </w:t>
            </w:r>
            <w:r>
              <w:rPr>
                <w:b/>
              </w:rPr>
              <w:t xml:space="preserve">courses </w:t>
            </w:r>
            <w:r w:rsidR="004F4683">
              <w:rPr>
                <w:b/>
              </w:rPr>
              <w:t xml:space="preserve">and </w:t>
            </w:r>
            <w:r w:rsidR="0057584D">
              <w:rPr>
                <w:b/>
              </w:rPr>
              <w:t xml:space="preserve">specific </w:t>
            </w:r>
            <w:r w:rsidR="004F4683">
              <w:rPr>
                <w:b/>
              </w:rPr>
              <w:t xml:space="preserve">courses in other departments.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4447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90C717E" w:rsidR="008D52B7" w:rsidRPr="00C25F9D" w:rsidRDefault="00651D3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4447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CEA8C45" w:rsidR="008D52B7" w:rsidRPr="00C25F9D" w:rsidRDefault="00651D3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4447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7ECAE54" w:rsidR="008D52B7" w:rsidRPr="00C25F9D" w:rsidRDefault="00651D3A" w:rsidP="008D52B7">
            <w:pPr>
              <w:rPr>
                <w:b/>
              </w:rPr>
            </w:pPr>
            <w:r>
              <w:rPr>
                <w:b/>
              </w:rPr>
              <w:t xml:space="preserve">None unless additional </w:t>
            </w:r>
            <w:r w:rsidR="002D04F9">
              <w:rPr>
                <w:b/>
              </w:rPr>
              <w:t xml:space="preserve">HPE </w:t>
            </w:r>
            <w:r>
              <w:rPr>
                <w:b/>
              </w:rPr>
              <w:t>sections are needed</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45FA616" w:rsidR="00F64260" w:rsidRPr="00B605CE" w:rsidRDefault="00DD2F36" w:rsidP="00B862BF">
            <w:pPr>
              <w:rPr>
                <w:b/>
              </w:rPr>
            </w:pPr>
            <w:bookmarkStart w:id="9" w:name="date_submitted"/>
            <w:bookmarkEnd w:id="9"/>
            <w:r>
              <w:rPr>
                <w:b/>
              </w:rPr>
              <w:t>Fall 2020</w:t>
            </w:r>
          </w:p>
        </w:tc>
        <w:tc>
          <w:tcPr>
            <w:tcW w:w="1373" w:type="pct"/>
            <w:gridSpan w:val="2"/>
          </w:tcPr>
          <w:p w14:paraId="5496F461" w14:textId="751740B1"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DD2F36">
                <w:rPr>
                  <w:rStyle w:val="Hyperlink"/>
                </w:rPr>
                <w:t>N/A</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77E54DA4" w14:textId="77777777" w:rsidR="004637DA" w:rsidRDefault="004637DA" w:rsidP="00EB33FD">
      <w:pPr>
        <w:pStyle w:val="Heading3"/>
        <w:keepNext/>
        <w:jc w:val="left"/>
      </w:pPr>
    </w:p>
    <w:p w14:paraId="6ACD7343" w14:textId="6ACDE55F"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330"/>
        <w:gridCol w:w="3150"/>
        <w:gridCol w:w="5300"/>
      </w:tblGrid>
      <w:tr w:rsidR="006B01C6" w:rsidRPr="006E3AF2" w14:paraId="60D9479E" w14:textId="77777777" w:rsidTr="002303D9">
        <w:trPr>
          <w:tblHeader/>
        </w:trPr>
        <w:tc>
          <w:tcPr>
            <w:tcW w:w="2330" w:type="dxa"/>
            <w:shd w:val="clear" w:color="auto" w:fill="FABF8F"/>
            <w:noWrap/>
            <w:vAlign w:val="center"/>
          </w:tcPr>
          <w:p w14:paraId="3A76ED2E" w14:textId="77777777" w:rsidR="006B01C6" w:rsidRPr="00A83A6C" w:rsidRDefault="006B01C6" w:rsidP="00DC5B0C">
            <w:pPr>
              <w:pStyle w:val="Heading5"/>
              <w:keepNext/>
              <w:spacing w:before="0" w:after="0" w:line="240" w:lineRule="auto"/>
            </w:pPr>
          </w:p>
        </w:tc>
        <w:tc>
          <w:tcPr>
            <w:tcW w:w="3150" w:type="dxa"/>
            <w:noWrap/>
          </w:tcPr>
          <w:p w14:paraId="7F75E27C" w14:textId="77777777" w:rsidR="006B01C6" w:rsidRPr="00A83A6C" w:rsidRDefault="00644471" w:rsidP="00DC5B0C">
            <w:pPr>
              <w:pStyle w:val="Heading5"/>
              <w:keepNext/>
              <w:spacing w:before="0" w:after="0" w:line="240" w:lineRule="auto"/>
              <w:jc w:val="center"/>
            </w:pPr>
            <w:hyperlink w:anchor="old_program" w:tooltip="Delete this column for new programs. Right-click, Delete Column. Widen the table when done." w:history="1">
              <w:r w:rsidR="006B01C6" w:rsidRPr="00A83A6C">
                <w:rPr>
                  <w:rStyle w:val="Hyperlink"/>
                </w:rPr>
                <w:t>Old (for revisions only)</w:t>
              </w:r>
              <w:bookmarkStart w:id="12" w:name="old_program"/>
              <w:bookmarkEnd w:id="12"/>
            </w:hyperlink>
          </w:p>
        </w:tc>
        <w:tc>
          <w:tcPr>
            <w:tcW w:w="5300" w:type="dxa"/>
            <w:noWrap/>
          </w:tcPr>
          <w:p w14:paraId="687EBB03" w14:textId="77777777" w:rsidR="006B01C6" w:rsidRPr="00A83A6C" w:rsidRDefault="006B01C6" w:rsidP="00DC5B0C">
            <w:pPr>
              <w:pStyle w:val="Heading5"/>
              <w:keepNext/>
              <w:spacing w:before="0" w:after="0" w:line="240" w:lineRule="auto"/>
              <w:jc w:val="center"/>
            </w:pPr>
            <w:r w:rsidRPr="00A83A6C">
              <w:t>New/revised</w:t>
            </w:r>
          </w:p>
        </w:tc>
      </w:tr>
      <w:tr w:rsidR="006B01C6" w:rsidRPr="006E3AF2" w14:paraId="1DF7C62A" w14:textId="77777777" w:rsidTr="002303D9">
        <w:tc>
          <w:tcPr>
            <w:tcW w:w="2330" w:type="dxa"/>
            <w:noWrap/>
            <w:vAlign w:val="center"/>
          </w:tcPr>
          <w:p w14:paraId="5AA76458" w14:textId="77777777" w:rsidR="006B01C6" w:rsidRDefault="006B01C6" w:rsidP="00DC5B0C">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150" w:type="dxa"/>
            <w:noWrap/>
          </w:tcPr>
          <w:p w14:paraId="62C17496" w14:textId="77777777" w:rsidR="006B01C6" w:rsidRPr="009F029C" w:rsidRDefault="006B01C6" w:rsidP="00DC5B0C">
            <w:pPr>
              <w:spacing w:line="240" w:lineRule="auto"/>
              <w:rPr>
                <w:b/>
              </w:rPr>
            </w:pPr>
            <w:bookmarkStart w:id="13" w:name="enrollments"/>
            <w:bookmarkEnd w:id="13"/>
          </w:p>
        </w:tc>
        <w:tc>
          <w:tcPr>
            <w:tcW w:w="5300" w:type="dxa"/>
            <w:noWrap/>
          </w:tcPr>
          <w:p w14:paraId="32A2788F" w14:textId="21C8D145" w:rsidR="006B01C6" w:rsidRPr="009F029C" w:rsidRDefault="005C4DAD" w:rsidP="00DC5B0C">
            <w:pPr>
              <w:spacing w:line="240" w:lineRule="auto"/>
              <w:rPr>
                <w:b/>
              </w:rPr>
            </w:pPr>
            <w:r w:rsidRPr="00E35A79">
              <w:rPr>
                <w:bCs/>
              </w:rPr>
              <w:t xml:space="preserve">We expect </w:t>
            </w:r>
            <w:r>
              <w:rPr>
                <w:bCs/>
              </w:rPr>
              <w:t>an initial enrollment of approximately 15 students in the first year. Enrollment is expected to grow after this.</w:t>
            </w:r>
          </w:p>
        </w:tc>
      </w:tr>
      <w:tr w:rsidR="006B01C6" w:rsidRPr="006E3AF2" w14:paraId="461C9091" w14:textId="77777777" w:rsidTr="002303D9">
        <w:tc>
          <w:tcPr>
            <w:tcW w:w="2330" w:type="dxa"/>
            <w:noWrap/>
            <w:vAlign w:val="center"/>
          </w:tcPr>
          <w:p w14:paraId="457A0649" w14:textId="77777777" w:rsidR="006B01C6" w:rsidRDefault="006B01C6" w:rsidP="00DC5B0C">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150" w:type="dxa"/>
            <w:noWrap/>
          </w:tcPr>
          <w:p w14:paraId="754FEDDE" w14:textId="77777777" w:rsidR="006B01C6" w:rsidRPr="009F029C" w:rsidRDefault="006B01C6" w:rsidP="00DC5B0C">
            <w:pPr>
              <w:spacing w:line="240" w:lineRule="auto"/>
              <w:rPr>
                <w:b/>
              </w:rPr>
            </w:pPr>
            <w:bookmarkStart w:id="14" w:name="admissions"/>
            <w:bookmarkEnd w:id="14"/>
          </w:p>
        </w:tc>
        <w:tc>
          <w:tcPr>
            <w:tcW w:w="5300" w:type="dxa"/>
            <w:noWrap/>
          </w:tcPr>
          <w:p w14:paraId="16654534" w14:textId="7B7E12FC" w:rsidR="006B01C6" w:rsidRPr="009F029C" w:rsidRDefault="006B01C6" w:rsidP="00DC5B0C">
            <w:pPr>
              <w:spacing w:line="240" w:lineRule="auto"/>
              <w:rPr>
                <w:b/>
              </w:rPr>
            </w:pPr>
            <w:r>
              <w:rPr>
                <w:rFonts w:ascii="Times New Roman" w:hAnsi="Times New Roman"/>
              </w:rPr>
              <w:t>The m</w:t>
            </w:r>
            <w:r w:rsidRPr="009275CB">
              <w:rPr>
                <w:rFonts w:ascii="Times New Roman" w:hAnsi="Times New Roman"/>
              </w:rPr>
              <w:t xml:space="preserve">inor </w:t>
            </w:r>
            <w:r>
              <w:rPr>
                <w:rFonts w:ascii="Times New Roman" w:hAnsi="Times New Roman"/>
              </w:rPr>
              <w:t>is</w:t>
            </w:r>
            <w:r w:rsidRPr="009275CB">
              <w:rPr>
                <w:rFonts w:ascii="Times New Roman" w:hAnsi="Times New Roman"/>
              </w:rPr>
              <w:t xml:space="preserve"> open to students in any major</w:t>
            </w:r>
            <w:r>
              <w:rPr>
                <w:rFonts w:ascii="Times New Roman" w:hAnsi="Times New Roman"/>
              </w:rPr>
              <w:t xml:space="preserve">, </w:t>
            </w:r>
            <w:r w:rsidR="005C4DAD">
              <w:rPr>
                <w:rFonts w:ascii="Times New Roman" w:hAnsi="Times New Roman"/>
              </w:rPr>
              <w:t xml:space="preserve">except </w:t>
            </w:r>
            <w:r>
              <w:rPr>
                <w:rFonts w:ascii="Times New Roman" w:hAnsi="Times New Roman"/>
              </w:rPr>
              <w:t>those majoring in HPE</w:t>
            </w:r>
            <w:r w:rsidRPr="009275CB">
              <w:rPr>
                <w:rFonts w:ascii="Times New Roman" w:hAnsi="Times New Roman"/>
              </w:rPr>
              <w:t>.</w:t>
            </w:r>
            <w:r w:rsidR="005C4DAD">
              <w:rPr>
                <w:rFonts w:ascii="Times New Roman" w:hAnsi="Times New Roman"/>
              </w:rPr>
              <w:t xml:space="preserve"> </w:t>
            </w:r>
            <w:r w:rsidRPr="009275CB">
              <w:rPr>
                <w:rFonts w:ascii="Times New Roman" w:hAnsi="Times New Roman"/>
              </w:rPr>
              <w:t>At least two courses in the minor must be completed at the college. Students must earn a minimum cumulative grade point average of a 2.00 in the minor.</w:t>
            </w:r>
          </w:p>
        </w:tc>
      </w:tr>
      <w:tr w:rsidR="006B01C6" w:rsidRPr="006E3AF2" w14:paraId="3021A258" w14:textId="77777777" w:rsidTr="002303D9">
        <w:tc>
          <w:tcPr>
            <w:tcW w:w="2330" w:type="dxa"/>
            <w:noWrap/>
            <w:vAlign w:val="center"/>
          </w:tcPr>
          <w:p w14:paraId="50E2D8C0" w14:textId="77777777" w:rsidR="006B01C6" w:rsidRDefault="006B01C6" w:rsidP="00DC5B0C">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150" w:type="dxa"/>
            <w:noWrap/>
          </w:tcPr>
          <w:p w14:paraId="29A221EE" w14:textId="77777777" w:rsidR="006B01C6" w:rsidRPr="009F029C" w:rsidRDefault="006B01C6" w:rsidP="00DC5B0C">
            <w:pPr>
              <w:spacing w:line="240" w:lineRule="auto"/>
              <w:rPr>
                <w:b/>
              </w:rPr>
            </w:pPr>
            <w:bookmarkStart w:id="15" w:name="retention"/>
            <w:bookmarkEnd w:id="15"/>
          </w:p>
        </w:tc>
        <w:tc>
          <w:tcPr>
            <w:tcW w:w="5300" w:type="dxa"/>
            <w:noWrap/>
          </w:tcPr>
          <w:p w14:paraId="4BFC7BAE" w14:textId="120780B5" w:rsidR="006B01C6" w:rsidRPr="009F029C" w:rsidRDefault="006B01C6" w:rsidP="006B01C6">
            <w:pPr>
              <w:spacing w:line="240" w:lineRule="auto"/>
              <w:rPr>
                <w:b/>
              </w:rPr>
            </w:pPr>
            <w:r>
              <w:rPr>
                <w:rFonts w:ascii="Times New Roman" w:hAnsi="Times New Roman"/>
                <w:color w:val="000000" w:themeColor="text1"/>
                <w:shd w:val="clear" w:color="auto" w:fill="FFFFFF"/>
              </w:rPr>
              <w:t xml:space="preserve">GPA 2.0: </w:t>
            </w:r>
            <w:r w:rsidRPr="006B01C6">
              <w:rPr>
                <w:rFonts w:ascii="Times New Roman" w:hAnsi="Times New Roman"/>
                <w:color w:val="000000" w:themeColor="text1"/>
                <w:shd w:val="clear" w:color="auto" w:fill="FFFFFF"/>
              </w:rPr>
              <w:t xml:space="preserve">A minimum grade of C is required for classes taken in the minor. </w:t>
            </w:r>
          </w:p>
        </w:tc>
      </w:tr>
      <w:tr w:rsidR="00F64260" w:rsidRPr="006E3AF2" w14:paraId="43B2AD3F" w14:textId="77777777" w:rsidTr="002303D9">
        <w:tc>
          <w:tcPr>
            <w:tcW w:w="233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150" w:type="dxa"/>
            <w:noWrap/>
          </w:tcPr>
          <w:p w14:paraId="1B32FCFB" w14:textId="77777777" w:rsidR="00F64260" w:rsidRPr="009F029C" w:rsidRDefault="00F64260" w:rsidP="00120C12">
            <w:pPr>
              <w:spacing w:line="240" w:lineRule="auto"/>
              <w:rPr>
                <w:b/>
              </w:rPr>
            </w:pPr>
            <w:bookmarkStart w:id="16" w:name="course_reqs"/>
            <w:bookmarkEnd w:id="16"/>
          </w:p>
        </w:tc>
        <w:tc>
          <w:tcPr>
            <w:tcW w:w="5300" w:type="dxa"/>
            <w:noWrap/>
          </w:tcPr>
          <w:p w14:paraId="79581A6E" w14:textId="113B5F45" w:rsidR="00F64260" w:rsidRPr="009275CB" w:rsidRDefault="00B27BF9" w:rsidP="00120C12">
            <w:pPr>
              <w:spacing w:line="240" w:lineRule="auto"/>
              <w:rPr>
                <w:rFonts w:ascii="Times New Roman" w:hAnsi="Times New Roman"/>
                <w:bCs/>
              </w:rPr>
            </w:pPr>
            <w:r w:rsidRPr="009275CB">
              <w:rPr>
                <w:rFonts w:ascii="Times New Roman" w:hAnsi="Times New Roman"/>
                <w:b/>
              </w:rPr>
              <w:t>Minor Core</w:t>
            </w:r>
            <w:r w:rsidR="00DD2F36" w:rsidRPr="009275CB">
              <w:rPr>
                <w:rFonts w:ascii="Times New Roman" w:hAnsi="Times New Roman"/>
                <w:b/>
              </w:rPr>
              <w:t xml:space="preserve"> </w:t>
            </w:r>
            <w:r w:rsidR="00744D8C" w:rsidRPr="009275CB">
              <w:rPr>
                <w:rFonts w:ascii="Times New Roman" w:hAnsi="Times New Roman"/>
                <w:b/>
              </w:rPr>
              <w:t>Foundation (9)</w:t>
            </w:r>
            <w:r w:rsidR="00DD2F36" w:rsidRPr="009275CB">
              <w:rPr>
                <w:rFonts w:ascii="Times New Roman" w:hAnsi="Times New Roman"/>
                <w:b/>
              </w:rPr>
              <w:t xml:space="preserve">: </w:t>
            </w:r>
          </w:p>
          <w:p w14:paraId="5D2C6A2C" w14:textId="7D3DC156" w:rsidR="00DD2F36" w:rsidRPr="009275CB" w:rsidRDefault="00DD2F36" w:rsidP="00120C12">
            <w:pPr>
              <w:spacing w:line="240" w:lineRule="auto"/>
              <w:rPr>
                <w:rFonts w:ascii="Times New Roman" w:hAnsi="Times New Roman"/>
                <w:bCs/>
              </w:rPr>
            </w:pPr>
            <w:r w:rsidRPr="009275CB">
              <w:rPr>
                <w:rFonts w:ascii="Times New Roman" w:hAnsi="Times New Roman"/>
                <w:bCs/>
              </w:rPr>
              <w:t xml:space="preserve">HPE 102: Human Health </w:t>
            </w:r>
            <w:r w:rsidR="00A53D6F" w:rsidRPr="009275CB">
              <w:rPr>
                <w:rFonts w:ascii="Times New Roman" w:hAnsi="Times New Roman"/>
                <w:bCs/>
              </w:rPr>
              <w:t>&amp;</w:t>
            </w:r>
            <w:r w:rsidRPr="009275CB">
              <w:rPr>
                <w:rFonts w:ascii="Times New Roman" w:hAnsi="Times New Roman"/>
                <w:bCs/>
              </w:rPr>
              <w:t xml:space="preserve"> Disease (3)</w:t>
            </w:r>
          </w:p>
          <w:p w14:paraId="4415C68A" w14:textId="6F1013B4" w:rsidR="00DD2F36" w:rsidRPr="009275CB" w:rsidRDefault="00DD2F36" w:rsidP="00120C12">
            <w:pPr>
              <w:spacing w:line="240" w:lineRule="auto"/>
              <w:rPr>
                <w:rFonts w:ascii="Times New Roman" w:hAnsi="Times New Roman"/>
              </w:rPr>
            </w:pPr>
            <w:r w:rsidRPr="009275CB">
              <w:rPr>
                <w:rFonts w:ascii="Times New Roman" w:hAnsi="Times New Roman"/>
                <w:bCs/>
              </w:rPr>
              <w:t xml:space="preserve">HPE 202: </w:t>
            </w:r>
            <w:r w:rsidRPr="009275CB">
              <w:rPr>
                <w:rFonts w:ascii="Times New Roman" w:hAnsi="Times New Roman"/>
              </w:rPr>
              <w:t>Community / Public Health &amp; Health Promotion (3)</w:t>
            </w:r>
          </w:p>
          <w:p w14:paraId="56D0CFF5" w14:textId="48A2B780" w:rsidR="00DD2F36" w:rsidRPr="009275CB" w:rsidRDefault="00DD2F36" w:rsidP="00120C12">
            <w:pPr>
              <w:spacing w:line="240" w:lineRule="auto"/>
              <w:rPr>
                <w:rFonts w:ascii="Times New Roman" w:hAnsi="Times New Roman"/>
              </w:rPr>
            </w:pPr>
            <w:r w:rsidRPr="009275CB">
              <w:rPr>
                <w:rFonts w:ascii="Times New Roman" w:hAnsi="Times New Roman"/>
              </w:rPr>
              <w:t>HPE 30</w:t>
            </w:r>
            <w:r w:rsidR="00094E14" w:rsidRPr="009275CB">
              <w:rPr>
                <w:rFonts w:ascii="Times New Roman" w:hAnsi="Times New Roman"/>
              </w:rPr>
              <w:t>7</w:t>
            </w:r>
            <w:r w:rsidRPr="009275CB">
              <w:rPr>
                <w:rFonts w:ascii="Times New Roman" w:hAnsi="Times New Roman"/>
              </w:rPr>
              <w:t xml:space="preserve">: </w:t>
            </w:r>
            <w:r w:rsidR="00094E14" w:rsidRPr="009275CB">
              <w:rPr>
                <w:rFonts w:ascii="Times New Roman" w:hAnsi="Times New Roman"/>
              </w:rPr>
              <w:t>Introduction to Epidemiology</w:t>
            </w:r>
            <w:r w:rsidR="00A53D6F" w:rsidRPr="009275CB">
              <w:rPr>
                <w:rFonts w:ascii="Times New Roman" w:hAnsi="Times New Roman"/>
              </w:rPr>
              <w:t xml:space="preserve"> </w:t>
            </w:r>
            <w:r w:rsidR="00B27BF9" w:rsidRPr="009275CB">
              <w:rPr>
                <w:rFonts w:ascii="Times New Roman" w:hAnsi="Times New Roman"/>
              </w:rPr>
              <w:t>(3)</w:t>
            </w:r>
          </w:p>
          <w:p w14:paraId="50A880E4" w14:textId="6B65887C" w:rsidR="00B27BF9" w:rsidRPr="009275CB" w:rsidRDefault="00B27BF9" w:rsidP="00120C12">
            <w:pPr>
              <w:spacing w:line="240" w:lineRule="auto"/>
              <w:rPr>
                <w:rFonts w:ascii="Times New Roman" w:hAnsi="Times New Roman"/>
              </w:rPr>
            </w:pPr>
          </w:p>
          <w:p w14:paraId="3131FF33" w14:textId="4F4C8557" w:rsidR="00B27BF9" w:rsidRPr="009275CB" w:rsidRDefault="00B27BF9" w:rsidP="00120C12">
            <w:pPr>
              <w:spacing w:line="240" w:lineRule="auto"/>
              <w:rPr>
                <w:rFonts w:ascii="Times New Roman" w:hAnsi="Times New Roman"/>
              </w:rPr>
            </w:pPr>
            <w:r w:rsidRPr="009275CB">
              <w:rPr>
                <w:rFonts w:ascii="Times New Roman" w:hAnsi="Times New Roman"/>
                <w:b/>
                <w:bCs/>
              </w:rPr>
              <w:t xml:space="preserve">One of </w:t>
            </w:r>
            <w:r w:rsidR="00F32311" w:rsidRPr="009275CB">
              <w:rPr>
                <w:rFonts w:ascii="Times New Roman" w:hAnsi="Times New Roman"/>
                <w:b/>
                <w:bCs/>
              </w:rPr>
              <w:t>3</w:t>
            </w:r>
            <w:r w:rsidR="0057347F" w:rsidRPr="009275CB">
              <w:rPr>
                <w:rFonts w:ascii="Times New Roman" w:hAnsi="Times New Roman"/>
                <w:b/>
                <w:bCs/>
              </w:rPr>
              <w:t xml:space="preserve"> </w:t>
            </w:r>
            <w:r w:rsidR="00A53D6F" w:rsidRPr="009275CB">
              <w:rPr>
                <w:rFonts w:ascii="Times New Roman" w:hAnsi="Times New Roman"/>
                <w:b/>
                <w:bCs/>
              </w:rPr>
              <w:t xml:space="preserve">Professional </w:t>
            </w:r>
            <w:r w:rsidRPr="009275CB">
              <w:rPr>
                <w:rFonts w:ascii="Times New Roman" w:hAnsi="Times New Roman"/>
                <w:b/>
                <w:bCs/>
              </w:rPr>
              <w:t>Courses</w:t>
            </w:r>
            <w:r w:rsidR="00744D8C" w:rsidRPr="009275CB">
              <w:rPr>
                <w:rFonts w:ascii="Times New Roman" w:hAnsi="Times New Roman"/>
                <w:b/>
                <w:bCs/>
              </w:rPr>
              <w:t xml:space="preserve"> (</w:t>
            </w:r>
            <w:r w:rsidR="00F32311" w:rsidRPr="009275CB">
              <w:rPr>
                <w:rFonts w:ascii="Times New Roman" w:hAnsi="Times New Roman"/>
                <w:b/>
                <w:bCs/>
              </w:rPr>
              <w:t>3</w:t>
            </w:r>
            <w:r w:rsidR="00744D8C" w:rsidRPr="009275CB">
              <w:rPr>
                <w:rFonts w:ascii="Times New Roman" w:hAnsi="Times New Roman"/>
                <w:b/>
                <w:bCs/>
              </w:rPr>
              <w:t>)</w:t>
            </w:r>
            <w:r w:rsidRPr="009275CB">
              <w:rPr>
                <w:rFonts w:ascii="Times New Roman" w:hAnsi="Times New Roman"/>
                <w:b/>
                <w:bCs/>
              </w:rPr>
              <w:t>:</w:t>
            </w:r>
          </w:p>
          <w:p w14:paraId="716E8613" w14:textId="45A441DB" w:rsidR="00A53D6F" w:rsidRPr="009275CB" w:rsidRDefault="00A53D6F" w:rsidP="00A53D6F">
            <w:pPr>
              <w:spacing w:line="240" w:lineRule="auto"/>
              <w:rPr>
                <w:rFonts w:ascii="Times New Roman" w:hAnsi="Times New Roman"/>
              </w:rPr>
            </w:pPr>
            <w:r w:rsidRPr="009275CB">
              <w:rPr>
                <w:rFonts w:ascii="Times New Roman" w:hAnsi="Times New Roman"/>
              </w:rPr>
              <w:t>HPE 233: Social &amp; Global Perspectives on Health (3)</w:t>
            </w:r>
          </w:p>
          <w:p w14:paraId="497F53F0" w14:textId="2B35B244" w:rsidR="00F32311" w:rsidRPr="009275CB" w:rsidRDefault="00F32311" w:rsidP="00A53D6F">
            <w:pPr>
              <w:spacing w:line="240" w:lineRule="auto"/>
              <w:rPr>
                <w:rFonts w:ascii="Times New Roman" w:hAnsi="Times New Roman"/>
              </w:rPr>
            </w:pPr>
            <w:r w:rsidRPr="009275CB">
              <w:rPr>
                <w:rFonts w:ascii="Times New Roman" w:hAnsi="Times New Roman"/>
              </w:rPr>
              <w:t xml:space="preserve">HPE 300: </w:t>
            </w:r>
            <w:r w:rsidR="00891A32" w:rsidRPr="009275CB">
              <w:rPr>
                <w:rFonts w:ascii="Times New Roman" w:hAnsi="Times New Roman"/>
              </w:rPr>
              <w:t>Health Education and Health Promotion Pedagogy</w:t>
            </w:r>
            <w:r w:rsidR="00633587" w:rsidRPr="009275CB">
              <w:rPr>
                <w:rFonts w:ascii="Times New Roman" w:hAnsi="Times New Roman"/>
              </w:rPr>
              <w:t xml:space="preserve"> (3)</w:t>
            </w:r>
          </w:p>
          <w:p w14:paraId="381A68AF" w14:textId="73B3DA81" w:rsidR="00A53D6F" w:rsidRPr="009275CB" w:rsidRDefault="00A53D6F" w:rsidP="00A53D6F">
            <w:pPr>
              <w:spacing w:line="240" w:lineRule="auto"/>
              <w:rPr>
                <w:rFonts w:ascii="Times New Roman" w:hAnsi="Times New Roman"/>
              </w:rPr>
            </w:pPr>
            <w:r w:rsidRPr="009275CB">
              <w:rPr>
                <w:rFonts w:ascii="Times New Roman" w:hAnsi="Times New Roman"/>
              </w:rPr>
              <w:t>HPE 303: Research in Community &amp; Public Health (3)</w:t>
            </w:r>
          </w:p>
          <w:p w14:paraId="45745479" w14:textId="77777777" w:rsidR="002303D9" w:rsidRDefault="002303D9" w:rsidP="00120C12">
            <w:pPr>
              <w:spacing w:line="240" w:lineRule="auto"/>
              <w:rPr>
                <w:rFonts w:ascii="Times New Roman" w:hAnsi="Times New Roman"/>
              </w:rPr>
            </w:pPr>
          </w:p>
          <w:p w14:paraId="6A1103B6" w14:textId="0413F015" w:rsidR="00B27BF9" w:rsidRPr="009275CB" w:rsidRDefault="002303D9" w:rsidP="00120C12">
            <w:pPr>
              <w:spacing w:line="240" w:lineRule="auto"/>
              <w:rPr>
                <w:rFonts w:ascii="Times New Roman" w:hAnsi="Times New Roman"/>
              </w:rPr>
            </w:pPr>
            <w:r>
              <w:rPr>
                <w:rFonts w:ascii="Times New Roman" w:hAnsi="Times New Roman"/>
                <w:b/>
                <w:bCs/>
              </w:rPr>
              <w:t xml:space="preserve">Any TWO </w:t>
            </w:r>
            <w:r w:rsidR="00A53D6F" w:rsidRPr="009275CB">
              <w:rPr>
                <w:rFonts w:ascii="Times New Roman" w:hAnsi="Times New Roman"/>
                <w:b/>
                <w:bCs/>
              </w:rPr>
              <w:t>Content</w:t>
            </w:r>
            <w:r w:rsidR="00744D8C" w:rsidRPr="009275CB">
              <w:rPr>
                <w:rFonts w:ascii="Times New Roman" w:hAnsi="Times New Roman"/>
                <w:b/>
                <w:bCs/>
              </w:rPr>
              <w:t>-Area</w:t>
            </w:r>
            <w:r w:rsidR="00A53D6F" w:rsidRPr="009275CB">
              <w:rPr>
                <w:rFonts w:ascii="Times New Roman" w:hAnsi="Times New Roman"/>
                <w:b/>
                <w:bCs/>
              </w:rPr>
              <w:t xml:space="preserve"> </w:t>
            </w:r>
            <w:r w:rsidR="00B27BF9" w:rsidRPr="009275CB">
              <w:rPr>
                <w:rFonts w:ascii="Times New Roman" w:hAnsi="Times New Roman"/>
                <w:b/>
                <w:bCs/>
              </w:rPr>
              <w:t>Courses</w:t>
            </w:r>
            <w:r w:rsidR="00744D8C" w:rsidRPr="009275CB">
              <w:rPr>
                <w:rFonts w:ascii="Times New Roman" w:hAnsi="Times New Roman"/>
                <w:b/>
                <w:bCs/>
              </w:rPr>
              <w:t xml:space="preserve"> (</w:t>
            </w:r>
            <w:r w:rsidR="00F32311" w:rsidRPr="009275CB">
              <w:rPr>
                <w:rFonts w:ascii="Times New Roman" w:hAnsi="Times New Roman"/>
                <w:b/>
                <w:bCs/>
              </w:rPr>
              <w:t>6</w:t>
            </w:r>
            <w:r w:rsidR="00633587" w:rsidRPr="009275CB">
              <w:rPr>
                <w:rFonts w:ascii="Times New Roman" w:hAnsi="Times New Roman"/>
                <w:b/>
                <w:bCs/>
              </w:rPr>
              <w:t>-8</w:t>
            </w:r>
            <w:r w:rsidR="00744D8C" w:rsidRPr="009275CB">
              <w:rPr>
                <w:rFonts w:ascii="Times New Roman" w:hAnsi="Times New Roman"/>
                <w:b/>
                <w:bCs/>
              </w:rPr>
              <w:t>)</w:t>
            </w:r>
            <w:r w:rsidR="00B27BF9" w:rsidRPr="009275CB">
              <w:rPr>
                <w:rFonts w:ascii="Times New Roman" w:hAnsi="Times New Roman"/>
              </w:rPr>
              <w:t>:</w:t>
            </w:r>
          </w:p>
          <w:p w14:paraId="3D609C30" w14:textId="6E136532" w:rsidR="001B343C" w:rsidRPr="009275CB" w:rsidRDefault="001B343C" w:rsidP="00120C12">
            <w:pPr>
              <w:spacing w:line="240" w:lineRule="auto"/>
              <w:rPr>
                <w:rFonts w:ascii="Times New Roman" w:hAnsi="Times New Roman"/>
              </w:rPr>
            </w:pPr>
            <w:bookmarkStart w:id="17" w:name="_Hlk32871200"/>
            <w:r w:rsidRPr="009275CB">
              <w:rPr>
                <w:rFonts w:ascii="Times New Roman" w:hAnsi="Times New Roman"/>
              </w:rPr>
              <w:t xml:space="preserve">ANTH 237 </w:t>
            </w:r>
            <w:r w:rsidR="004F4683" w:rsidRPr="009275CB">
              <w:rPr>
                <w:rFonts w:ascii="Times New Roman" w:hAnsi="Times New Roman"/>
              </w:rPr>
              <w:t>Measuring Inequality, Analyzing Injustice (4)</w:t>
            </w:r>
          </w:p>
          <w:p w14:paraId="078E62C2" w14:textId="230BCBAD" w:rsidR="00633587" w:rsidRPr="009275CB" w:rsidRDefault="00633587" w:rsidP="00120C12">
            <w:pPr>
              <w:spacing w:line="240" w:lineRule="auto"/>
              <w:rPr>
                <w:rFonts w:ascii="Times New Roman" w:hAnsi="Times New Roman"/>
              </w:rPr>
            </w:pPr>
            <w:r w:rsidRPr="009275CB">
              <w:rPr>
                <w:rFonts w:ascii="Times New Roman" w:hAnsi="Times New Roman"/>
              </w:rPr>
              <w:t>ANTH 309: Medical Anthropology (4)</w:t>
            </w:r>
          </w:p>
          <w:p w14:paraId="43094218" w14:textId="796186A2" w:rsidR="00633587" w:rsidRDefault="00633587" w:rsidP="00120C12">
            <w:pPr>
              <w:spacing w:line="240" w:lineRule="auto"/>
              <w:rPr>
                <w:rFonts w:ascii="Times New Roman" w:hAnsi="Times New Roman"/>
              </w:rPr>
            </w:pPr>
            <w:r w:rsidRPr="009275CB">
              <w:rPr>
                <w:rFonts w:ascii="Times New Roman" w:hAnsi="Times New Roman"/>
              </w:rPr>
              <w:t>COMM 336: Health Communication (4)</w:t>
            </w:r>
          </w:p>
          <w:p w14:paraId="2D76E34C" w14:textId="09D0D5C2" w:rsidR="00CB4E88" w:rsidRPr="009275CB" w:rsidRDefault="00CB4E88" w:rsidP="00120C12">
            <w:pPr>
              <w:spacing w:line="240" w:lineRule="auto"/>
              <w:rPr>
                <w:rFonts w:ascii="Times New Roman" w:hAnsi="Times New Roman"/>
              </w:rPr>
            </w:pPr>
            <w:r>
              <w:rPr>
                <w:rFonts w:ascii="Times New Roman" w:hAnsi="Times New Roman"/>
              </w:rPr>
              <w:t>GEND 205 Introduction to Queer Studies (4)</w:t>
            </w:r>
          </w:p>
          <w:p w14:paraId="67180D94" w14:textId="20CDE34C" w:rsidR="004F4683" w:rsidRPr="009275CB" w:rsidRDefault="004F4683" w:rsidP="00120C12">
            <w:pPr>
              <w:spacing w:line="240" w:lineRule="auto"/>
              <w:rPr>
                <w:rFonts w:ascii="Times New Roman" w:hAnsi="Times New Roman"/>
              </w:rPr>
            </w:pPr>
            <w:r w:rsidRPr="009275CB">
              <w:rPr>
                <w:rFonts w:ascii="Times New Roman" w:hAnsi="Times New Roman"/>
                <w:color w:val="000000"/>
              </w:rPr>
              <w:t>GEND 357: Gender and Sexuality (4)</w:t>
            </w:r>
          </w:p>
          <w:p w14:paraId="51A450FC" w14:textId="41161773" w:rsidR="00B27BF9" w:rsidRPr="009275CB" w:rsidRDefault="00B27BF9" w:rsidP="00120C12">
            <w:pPr>
              <w:spacing w:line="240" w:lineRule="auto"/>
              <w:rPr>
                <w:rFonts w:ascii="Times New Roman" w:hAnsi="Times New Roman"/>
              </w:rPr>
            </w:pPr>
            <w:r w:rsidRPr="009275CB">
              <w:rPr>
                <w:rFonts w:ascii="Times New Roman" w:hAnsi="Times New Roman"/>
              </w:rPr>
              <w:t xml:space="preserve">HPE 101: </w:t>
            </w:r>
            <w:r w:rsidR="00A53D6F" w:rsidRPr="009275CB">
              <w:rPr>
                <w:rFonts w:ascii="Times New Roman" w:hAnsi="Times New Roman"/>
              </w:rPr>
              <w:t>Human Sexuality</w:t>
            </w:r>
            <w:r w:rsidR="002D04F9" w:rsidRPr="009275CB">
              <w:rPr>
                <w:rFonts w:ascii="Times New Roman" w:hAnsi="Times New Roman"/>
              </w:rPr>
              <w:t xml:space="preserve"> (3)</w:t>
            </w:r>
          </w:p>
          <w:p w14:paraId="6B9247BE" w14:textId="576EACF7" w:rsidR="00A53D6F" w:rsidRPr="009275CB" w:rsidRDefault="00A53D6F" w:rsidP="00120C12">
            <w:pPr>
              <w:spacing w:line="240" w:lineRule="auto"/>
              <w:rPr>
                <w:rFonts w:ascii="Times New Roman" w:hAnsi="Times New Roman"/>
              </w:rPr>
            </w:pPr>
            <w:r w:rsidRPr="009275CB">
              <w:rPr>
                <w:rFonts w:ascii="Times New Roman" w:hAnsi="Times New Roman"/>
              </w:rPr>
              <w:t>HPE 221: Nutrition</w:t>
            </w:r>
            <w:r w:rsidR="002D04F9" w:rsidRPr="009275CB">
              <w:rPr>
                <w:rFonts w:ascii="Times New Roman" w:hAnsi="Times New Roman"/>
              </w:rPr>
              <w:t xml:space="preserve"> (3)</w:t>
            </w:r>
          </w:p>
          <w:p w14:paraId="173F83EE" w14:textId="0155E716" w:rsidR="002D04F9" w:rsidRPr="009275CB" w:rsidRDefault="002D04F9" w:rsidP="00120C12">
            <w:pPr>
              <w:spacing w:line="240" w:lineRule="auto"/>
              <w:rPr>
                <w:rFonts w:ascii="Times New Roman" w:hAnsi="Times New Roman"/>
              </w:rPr>
            </w:pPr>
            <w:r w:rsidRPr="009275CB">
              <w:rPr>
                <w:rFonts w:ascii="Times New Roman" w:hAnsi="Times New Roman"/>
              </w:rPr>
              <w:t>HPE 403 Environmental Health (3)</w:t>
            </w:r>
          </w:p>
          <w:p w14:paraId="3967FB55" w14:textId="03B66543" w:rsidR="002D04F9" w:rsidRPr="009275CB" w:rsidRDefault="002D04F9" w:rsidP="00120C12">
            <w:pPr>
              <w:spacing w:line="240" w:lineRule="auto"/>
              <w:rPr>
                <w:rFonts w:ascii="Times New Roman" w:hAnsi="Times New Roman"/>
              </w:rPr>
            </w:pPr>
            <w:r w:rsidRPr="009275CB">
              <w:rPr>
                <w:rFonts w:ascii="Times New Roman" w:hAnsi="Times New Roman"/>
              </w:rPr>
              <w:t>HPE 416 Women’s Health (3)</w:t>
            </w:r>
          </w:p>
          <w:p w14:paraId="70FCF439" w14:textId="1F77902E" w:rsidR="00A53D6F" w:rsidRPr="009275CB" w:rsidRDefault="00A53D6F" w:rsidP="00120C12">
            <w:pPr>
              <w:spacing w:line="240" w:lineRule="auto"/>
              <w:rPr>
                <w:rFonts w:ascii="Times New Roman" w:hAnsi="Times New Roman"/>
                <w:color w:val="545454"/>
                <w:shd w:val="clear" w:color="auto" w:fill="FFFFFF"/>
              </w:rPr>
            </w:pPr>
            <w:r w:rsidRPr="009275CB">
              <w:rPr>
                <w:rFonts w:ascii="Times New Roman" w:hAnsi="Times New Roman"/>
              </w:rPr>
              <w:t xml:space="preserve">HPE 410: </w:t>
            </w:r>
            <w:r w:rsidRPr="009275CB">
              <w:rPr>
                <w:rFonts w:ascii="Times New Roman" w:hAnsi="Times New Roman"/>
                <w:color w:val="545454"/>
                <w:shd w:val="clear" w:color="auto" w:fill="FFFFFF"/>
              </w:rPr>
              <w:t>Managing Stress and Mental/Emotional Health</w:t>
            </w:r>
            <w:r w:rsidR="002D04F9" w:rsidRPr="009275CB">
              <w:rPr>
                <w:rFonts w:ascii="Times New Roman" w:hAnsi="Times New Roman"/>
                <w:color w:val="545454"/>
                <w:shd w:val="clear" w:color="auto" w:fill="FFFFFF"/>
              </w:rPr>
              <w:t xml:space="preserve"> (3)</w:t>
            </w:r>
          </w:p>
          <w:p w14:paraId="48E3003D" w14:textId="30AB7A9A" w:rsidR="00633587" w:rsidRPr="009275CB" w:rsidRDefault="00633587" w:rsidP="00120C12">
            <w:pPr>
              <w:spacing w:line="240" w:lineRule="auto"/>
              <w:rPr>
                <w:rFonts w:ascii="Times New Roman" w:hAnsi="Times New Roman"/>
                <w:color w:val="545454"/>
                <w:shd w:val="clear" w:color="auto" w:fill="FFFFFF"/>
              </w:rPr>
            </w:pPr>
            <w:r w:rsidRPr="009275CB">
              <w:rPr>
                <w:rFonts w:ascii="Times New Roman" w:hAnsi="Times New Roman"/>
                <w:color w:val="545454"/>
                <w:shd w:val="clear" w:color="auto" w:fill="FFFFFF"/>
              </w:rPr>
              <w:t>HPE 431: Drug Education (3)</w:t>
            </w:r>
          </w:p>
          <w:p w14:paraId="7E15A56C" w14:textId="710DE854" w:rsidR="004F4683" w:rsidRPr="009275CB" w:rsidRDefault="004F4683" w:rsidP="00120C12">
            <w:pPr>
              <w:spacing w:line="240" w:lineRule="auto"/>
              <w:rPr>
                <w:rFonts w:ascii="Times New Roman" w:hAnsi="Times New Roman"/>
                <w:color w:val="545454"/>
                <w:shd w:val="clear" w:color="auto" w:fill="FFFFFF"/>
              </w:rPr>
            </w:pPr>
            <w:r w:rsidRPr="009275CB">
              <w:rPr>
                <w:rFonts w:ascii="Times New Roman" w:hAnsi="Times New Roman"/>
                <w:color w:val="545454"/>
                <w:shd w:val="clear" w:color="auto" w:fill="FFFFFF"/>
              </w:rPr>
              <w:t xml:space="preserve">PSYC </w:t>
            </w:r>
            <w:r w:rsidR="00AE6112" w:rsidRPr="009275CB">
              <w:rPr>
                <w:rFonts w:ascii="Times New Roman" w:hAnsi="Times New Roman"/>
                <w:color w:val="545454"/>
                <w:shd w:val="clear" w:color="auto" w:fill="FFFFFF"/>
              </w:rPr>
              <w:t xml:space="preserve">217 </w:t>
            </w:r>
            <w:r w:rsidRPr="009275CB">
              <w:rPr>
                <w:rFonts w:ascii="Times New Roman" w:hAnsi="Times New Roman"/>
                <w:color w:val="545454"/>
                <w:shd w:val="clear" w:color="auto" w:fill="FFFFFF"/>
              </w:rPr>
              <w:t>Drugs and Chemical Dependency (4)</w:t>
            </w:r>
          </w:p>
          <w:p w14:paraId="15BFCE5D" w14:textId="3B774EE6" w:rsidR="004F4683" w:rsidRPr="009275CB" w:rsidRDefault="004F4683" w:rsidP="00120C12">
            <w:pPr>
              <w:spacing w:line="240" w:lineRule="auto"/>
              <w:rPr>
                <w:rFonts w:ascii="Times New Roman" w:hAnsi="Times New Roman"/>
                <w:color w:val="545454"/>
                <w:shd w:val="clear" w:color="auto" w:fill="FFFFFF"/>
              </w:rPr>
            </w:pPr>
            <w:r w:rsidRPr="009275CB">
              <w:rPr>
                <w:rFonts w:ascii="Times New Roman" w:hAnsi="Times New Roman"/>
                <w:color w:val="545454"/>
                <w:shd w:val="clear" w:color="auto" w:fill="FFFFFF"/>
              </w:rPr>
              <w:t>PSYC 424 Health Psychology (4)</w:t>
            </w:r>
          </w:p>
          <w:p w14:paraId="0DA66663" w14:textId="28F6AB9A" w:rsidR="00F64260" w:rsidRPr="006B01C6" w:rsidRDefault="00633587" w:rsidP="009275CB">
            <w:pPr>
              <w:spacing w:line="240" w:lineRule="auto"/>
              <w:rPr>
                <w:rFonts w:ascii="Times New Roman" w:hAnsi="Times New Roman"/>
                <w:color w:val="545454"/>
                <w:shd w:val="clear" w:color="auto" w:fill="FFFFFF"/>
              </w:rPr>
            </w:pPr>
            <w:r w:rsidRPr="009275CB">
              <w:rPr>
                <w:rFonts w:ascii="Times New Roman" w:hAnsi="Times New Roman"/>
                <w:color w:val="545454"/>
                <w:shd w:val="clear" w:color="auto" w:fill="FFFFFF"/>
              </w:rPr>
              <w:t>SOC 314: Sociology of Health and Illness (4)</w:t>
            </w:r>
            <w:bookmarkEnd w:id="17"/>
          </w:p>
        </w:tc>
      </w:tr>
      <w:tr w:rsidR="00F64260" w:rsidRPr="006E3AF2" w14:paraId="07853955" w14:textId="77777777" w:rsidTr="002303D9">
        <w:tc>
          <w:tcPr>
            <w:tcW w:w="233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150" w:type="dxa"/>
            <w:noWrap/>
          </w:tcPr>
          <w:p w14:paraId="63353FC7" w14:textId="77777777" w:rsidR="00F64260" w:rsidRPr="009F029C" w:rsidRDefault="00F64260" w:rsidP="00120C12">
            <w:pPr>
              <w:spacing w:line="240" w:lineRule="auto"/>
              <w:rPr>
                <w:b/>
              </w:rPr>
            </w:pPr>
            <w:bookmarkStart w:id="18" w:name="credit_count"/>
            <w:bookmarkEnd w:id="18"/>
          </w:p>
        </w:tc>
        <w:tc>
          <w:tcPr>
            <w:tcW w:w="5300" w:type="dxa"/>
            <w:noWrap/>
          </w:tcPr>
          <w:p w14:paraId="0CDCA3D1" w14:textId="18F3553D" w:rsidR="00A53D6F" w:rsidRPr="00A53D6F" w:rsidRDefault="00352724" w:rsidP="00120C12">
            <w:pPr>
              <w:spacing w:line="240" w:lineRule="auto"/>
              <w:rPr>
                <w:bCs/>
              </w:rPr>
            </w:pPr>
            <w:r>
              <w:rPr>
                <w:b/>
              </w:rPr>
              <w:t>18-</w:t>
            </w:r>
            <w:r w:rsidR="00633587">
              <w:rPr>
                <w:b/>
              </w:rPr>
              <w:t>20</w:t>
            </w:r>
          </w:p>
        </w:tc>
      </w:tr>
      <w:tr w:rsidR="00F64260" w:rsidRPr="006E3AF2" w14:paraId="380591A9" w14:textId="77777777" w:rsidTr="002303D9">
        <w:tc>
          <w:tcPr>
            <w:tcW w:w="2330" w:type="dxa"/>
            <w:noWrap/>
            <w:vAlign w:val="center"/>
          </w:tcPr>
          <w:p w14:paraId="1CF53265" w14:textId="45E29047" w:rsidR="00F64260" w:rsidRDefault="00115A68" w:rsidP="003F099C">
            <w:pPr>
              <w:spacing w:line="240" w:lineRule="auto"/>
            </w:pPr>
            <w:r>
              <w:t>C.6</w:t>
            </w:r>
            <w:r w:rsidR="00F64260">
              <w:t>. Other changes if any</w:t>
            </w:r>
          </w:p>
        </w:tc>
        <w:tc>
          <w:tcPr>
            <w:tcW w:w="3150" w:type="dxa"/>
            <w:noWrap/>
          </w:tcPr>
          <w:p w14:paraId="059B0F3B" w14:textId="77777777" w:rsidR="00F64260" w:rsidRPr="009F029C" w:rsidRDefault="00F64260" w:rsidP="00120C12">
            <w:pPr>
              <w:spacing w:line="240" w:lineRule="auto"/>
              <w:rPr>
                <w:b/>
              </w:rPr>
            </w:pPr>
          </w:p>
        </w:tc>
        <w:tc>
          <w:tcPr>
            <w:tcW w:w="5300" w:type="dxa"/>
            <w:noWrap/>
          </w:tcPr>
          <w:p w14:paraId="008BB0C2" w14:textId="2234BBC5" w:rsidR="00F64260" w:rsidRDefault="00766D17" w:rsidP="00120C12">
            <w:pPr>
              <w:spacing w:line="240" w:lineRule="auto"/>
              <w:rPr>
                <w:b/>
              </w:rPr>
            </w:pPr>
            <w:r>
              <w:rPr>
                <w:b/>
              </w:rPr>
              <w:t>A note will need to be added to warn students of pos</w:t>
            </w:r>
            <w:r w:rsidR="00CB30C4">
              <w:rPr>
                <w:b/>
              </w:rPr>
              <w:t>s</w:t>
            </w:r>
            <w:r>
              <w:rPr>
                <w:b/>
              </w:rPr>
              <w:t xml:space="preserve">ible </w:t>
            </w:r>
            <w:r w:rsidR="00BC1BC8">
              <w:rPr>
                <w:b/>
              </w:rPr>
              <w:t>additional course they may need as prerequisites for the content-area courses</w:t>
            </w:r>
            <w:r w:rsidR="00F33A14">
              <w:rPr>
                <w:b/>
              </w:rPr>
              <w:t>:</w:t>
            </w:r>
          </w:p>
          <w:p w14:paraId="28A4094D" w14:textId="1219D48A" w:rsidR="00BC1BC8" w:rsidRPr="00F33A14" w:rsidRDefault="00BC1BC8" w:rsidP="00120C12">
            <w:pPr>
              <w:spacing w:line="240" w:lineRule="auto"/>
              <w:rPr>
                <w:sz w:val="24"/>
                <w:szCs w:val="24"/>
              </w:rPr>
            </w:pPr>
            <w:r>
              <w:rPr>
                <w:b/>
              </w:rPr>
              <w:lastRenderedPageBreak/>
              <w:t xml:space="preserve">Note: </w:t>
            </w:r>
            <w:r>
              <w:rPr>
                <w:rFonts w:ascii="Calibri" w:hAnsi="Calibri" w:cs="Calibri"/>
                <w:color w:val="000000"/>
              </w:rPr>
              <w:t xml:space="preserve">ANTH 309 uses HPE 233 (among others) as a prerequisite. PSYC 217 uses PSYC 110, PSYC 424 uses PSYC 221 and either PSYC 215 or 251, and SOC 314 a 200-level SB course; others have “or by consent of department chair/director” </w:t>
            </w:r>
            <w:r w:rsidR="00F33A14">
              <w:rPr>
                <w:rFonts w:ascii="Calibri" w:hAnsi="Calibri" w:cs="Calibri"/>
                <w:color w:val="000000"/>
              </w:rPr>
              <w:t xml:space="preserve">or numbers of credits completed </w:t>
            </w:r>
            <w:r>
              <w:rPr>
                <w:rFonts w:ascii="Calibri" w:hAnsi="Calibri" w:cs="Calibri"/>
                <w:color w:val="000000"/>
              </w:rPr>
              <w:t>option</w:t>
            </w:r>
            <w:r w:rsidR="00F33A14">
              <w:rPr>
                <w:rFonts w:ascii="Calibri" w:hAnsi="Calibri" w:cs="Calibri"/>
                <w:color w:val="000000"/>
              </w:rPr>
              <w:t>s</w:t>
            </w:r>
            <w:r>
              <w:rPr>
                <w:rFonts w:ascii="Calibri" w:hAnsi="Calibri" w:cs="Calibri"/>
                <w:color w:val="000000"/>
              </w:rPr>
              <w:t>.</w:t>
            </w:r>
            <w:r>
              <w:rPr>
                <w:rStyle w:val="apple-converted-space"/>
                <w:rFonts w:ascii="Calibri" w:hAnsi="Calibri" w:cs="Calibri"/>
                <w:color w:val="000000"/>
              </w:rPr>
              <w:t> </w:t>
            </w:r>
          </w:p>
        </w:tc>
      </w:tr>
      <w:tr w:rsidR="006B01C6" w:rsidRPr="006E3AF2" w14:paraId="7C156526" w14:textId="77777777" w:rsidTr="002303D9">
        <w:tc>
          <w:tcPr>
            <w:tcW w:w="2330" w:type="dxa"/>
            <w:noWrap/>
            <w:vAlign w:val="center"/>
          </w:tcPr>
          <w:p w14:paraId="2DEBA22A" w14:textId="77777777" w:rsidR="006B01C6" w:rsidRDefault="006B01C6" w:rsidP="00DC5B0C">
            <w:pPr>
              <w:spacing w:line="240" w:lineRule="auto"/>
            </w:pPr>
            <w:r>
              <w:lastRenderedPageBreak/>
              <w:t xml:space="preserve">C.7  </w:t>
            </w:r>
            <w:hyperlink r:id="rId8" w:tooltip="You may also include here expected methods of assessing student learning and possible career paths for students taking this program" w:history="1">
              <w:r w:rsidRPr="00F3256C">
                <w:rPr>
                  <w:rStyle w:val="Hyperlink"/>
                </w:rPr>
                <w:t>Program goals</w:t>
              </w:r>
            </w:hyperlink>
          </w:p>
          <w:p w14:paraId="43B8FB6D" w14:textId="77777777" w:rsidR="006B01C6" w:rsidRDefault="006B01C6" w:rsidP="00DC5B0C">
            <w:pPr>
              <w:spacing w:line="240" w:lineRule="auto"/>
            </w:pPr>
            <w:r>
              <w:t>Needed for all new programs</w:t>
            </w:r>
          </w:p>
        </w:tc>
        <w:tc>
          <w:tcPr>
            <w:tcW w:w="3150" w:type="dxa"/>
            <w:noWrap/>
          </w:tcPr>
          <w:p w14:paraId="2A925A18" w14:textId="77777777" w:rsidR="006B01C6" w:rsidRPr="009F029C" w:rsidRDefault="006B01C6" w:rsidP="00DC5B0C">
            <w:pPr>
              <w:spacing w:line="240" w:lineRule="auto"/>
              <w:rPr>
                <w:b/>
              </w:rPr>
            </w:pPr>
          </w:p>
        </w:tc>
        <w:tc>
          <w:tcPr>
            <w:tcW w:w="5300" w:type="dxa"/>
            <w:noWrap/>
          </w:tcPr>
          <w:p w14:paraId="14E71781" w14:textId="77777777" w:rsidR="002303D9" w:rsidRDefault="002303D9" w:rsidP="002303D9">
            <w:pPr>
              <w:pStyle w:val="ListParagraph"/>
              <w:numPr>
                <w:ilvl w:val="0"/>
                <w:numId w:val="17"/>
              </w:numPr>
              <w:ind w:left="258"/>
            </w:pPr>
            <w:r>
              <w:t xml:space="preserve">To provide students with an understanding of health systems and health education and promotion that includes: </w:t>
            </w:r>
          </w:p>
          <w:p w14:paraId="3D84FC67" w14:textId="77777777" w:rsidR="002303D9" w:rsidRDefault="002303D9" w:rsidP="002303D9">
            <w:pPr>
              <w:pStyle w:val="ListParagraph"/>
              <w:numPr>
                <w:ilvl w:val="0"/>
                <w:numId w:val="17"/>
              </w:numPr>
            </w:pPr>
            <w:r>
              <w:t>Exploration and development of understandings of concepts fundamental to community and public health promotion (e.g., health behavior change theories and their applications)</w:t>
            </w:r>
          </w:p>
          <w:p w14:paraId="25084967" w14:textId="77777777" w:rsidR="002303D9" w:rsidRDefault="002303D9" w:rsidP="002303D9">
            <w:pPr>
              <w:pStyle w:val="ListParagraph"/>
              <w:numPr>
                <w:ilvl w:val="0"/>
                <w:numId w:val="17"/>
              </w:numPr>
            </w:pPr>
            <w:r>
              <w:t>Acute and chronic diseases, including health determinants, natural history of disease, and impacts of lifestyle and social and natural environments on illnesses’ origin and progression</w:t>
            </w:r>
          </w:p>
          <w:p w14:paraId="4D18887D" w14:textId="77777777" w:rsidR="002303D9" w:rsidRDefault="002303D9" w:rsidP="002303D9">
            <w:pPr>
              <w:pStyle w:val="ListParagraph"/>
              <w:numPr>
                <w:ilvl w:val="0"/>
                <w:numId w:val="17"/>
              </w:numPr>
            </w:pPr>
            <w:r>
              <w:t>Methods for locating and using epidemiological dataTheories and methods of communication of health information in education and advocacy; and</w:t>
            </w:r>
          </w:p>
          <w:p w14:paraId="54A11F19" w14:textId="4703D51E" w:rsidR="002303D9" w:rsidRDefault="002303D9" w:rsidP="002303D9">
            <w:pPr>
              <w:pStyle w:val="ListParagraph"/>
              <w:numPr>
                <w:ilvl w:val="0"/>
                <w:numId w:val="17"/>
              </w:numPr>
            </w:pPr>
            <w:r>
              <w:t>Structures, functions, organizations, and processes of public and community health systems.</w:t>
            </w:r>
          </w:p>
          <w:p w14:paraId="4432EE21" w14:textId="24C5C909" w:rsidR="002303D9" w:rsidRDefault="002303D9" w:rsidP="002303D9">
            <w:pPr>
              <w:pStyle w:val="ListParagraph"/>
              <w:numPr>
                <w:ilvl w:val="0"/>
                <w:numId w:val="17"/>
              </w:numPr>
              <w:spacing w:line="240" w:lineRule="auto"/>
              <w:ind w:left="258"/>
            </w:pPr>
            <w:r>
              <w:t>To increase student opportunities in employment opportunities, especially in positions that prioritize interdisciplinary training (e.g., agencies that provide both social work and health services)</w:t>
            </w:r>
          </w:p>
          <w:p w14:paraId="4B9707DC" w14:textId="4F26216F" w:rsidR="006B01C6" w:rsidRPr="002303D9" w:rsidRDefault="002303D9" w:rsidP="002303D9">
            <w:pPr>
              <w:pStyle w:val="ListParagraph"/>
              <w:numPr>
                <w:ilvl w:val="0"/>
                <w:numId w:val="17"/>
              </w:numPr>
              <w:spacing w:line="240" w:lineRule="auto"/>
              <w:ind w:left="258"/>
            </w:pPr>
            <w:r>
              <w:t>To increase the diversity of perspectives within classes due to the inclusion of students with knowledge of and experience in other disciplines</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477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796"/>
        <w:gridCol w:w="2889"/>
        <w:gridCol w:w="4188"/>
        <w:gridCol w:w="1413"/>
      </w:tblGrid>
      <w:tr w:rsidR="00115A68" w:rsidRPr="00402602" w14:paraId="67436BB2" w14:textId="77777777" w:rsidTr="004F2139">
        <w:trPr>
          <w:cantSplit/>
          <w:tblHeader/>
        </w:trPr>
        <w:tc>
          <w:tcPr>
            <w:tcW w:w="1796" w:type="dxa"/>
            <w:vAlign w:val="center"/>
          </w:tcPr>
          <w:p w14:paraId="739386E3" w14:textId="77777777" w:rsidR="00115A68" w:rsidRPr="00A83A6C" w:rsidRDefault="00115A68" w:rsidP="0015571B">
            <w:pPr>
              <w:pStyle w:val="Heading5"/>
              <w:jc w:val="center"/>
            </w:pPr>
            <w:r w:rsidRPr="00A83A6C">
              <w:t>Name</w:t>
            </w:r>
          </w:p>
        </w:tc>
        <w:tc>
          <w:tcPr>
            <w:tcW w:w="2889"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418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13"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F2139">
        <w:trPr>
          <w:cantSplit/>
          <w:trHeight w:val="489"/>
        </w:trPr>
        <w:tc>
          <w:tcPr>
            <w:tcW w:w="1796" w:type="dxa"/>
            <w:vAlign w:val="center"/>
          </w:tcPr>
          <w:p w14:paraId="2B0991B7" w14:textId="473D7948" w:rsidR="00115A68" w:rsidRDefault="006B01C6" w:rsidP="0015571B">
            <w:pPr>
              <w:spacing w:line="240" w:lineRule="auto"/>
            </w:pPr>
            <w:r>
              <w:t>Carol A. Cummings</w:t>
            </w:r>
          </w:p>
        </w:tc>
        <w:tc>
          <w:tcPr>
            <w:tcW w:w="2889" w:type="dxa"/>
            <w:vAlign w:val="center"/>
          </w:tcPr>
          <w:p w14:paraId="2927DBCB" w14:textId="0EECA490" w:rsidR="00115A68" w:rsidRDefault="00115A68" w:rsidP="0015571B">
            <w:pPr>
              <w:spacing w:line="240" w:lineRule="auto"/>
            </w:pPr>
            <w:r>
              <w:t xml:space="preserve">Chair of </w:t>
            </w:r>
            <w:r w:rsidR="006B01C6">
              <w:t>CPHP</w:t>
            </w:r>
          </w:p>
        </w:tc>
        <w:tc>
          <w:tcPr>
            <w:tcW w:w="4188" w:type="dxa"/>
            <w:vAlign w:val="center"/>
          </w:tcPr>
          <w:p w14:paraId="7927CB11" w14:textId="578644D9" w:rsidR="00115A68" w:rsidRDefault="006B01C6" w:rsidP="006B01C6">
            <w:pPr>
              <w:pStyle w:val="NormalWeb"/>
            </w:pPr>
            <w:r>
              <w:rPr>
                <w:rFonts w:ascii="LucidaCalligraphy" w:hAnsi="LucidaCalligraphy"/>
                <w:i/>
                <w:iCs/>
                <w:sz w:val="22"/>
                <w:szCs w:val="22"/>
              </w:rPr>
              <w:t xml:space="preserve">Carol A. Cummings </w:t>
            </w:r>
          </w:p>
        </w:tc>
        <w:tc>
          <w:tcPr>
            <w:tcW w:w="1413" w:type="dxa"/>
            <w:vAlign w:val="center"/>
          </w:tcPr>
          <w:p w14:paraId="06A64098" w14:textId="502D45BD" w:rsidR="00115A68" w:rsidRDefault="006B01C6" w:rsidP="0015571B">
            <w:pPr>
              <w:spacing w:line="240" w:lineRule="auto"/>
            </w:pPr>
            <w:r>
              <w:t>4/23/20</w:t>
            </w:r>
          </w:p>
        </w:tc>
      </w:tr>
      <w:tr w:rsidR="00115A68" w14:paraId="5FB4CB46" w14:textId="77777777" w:rsidTr="004F2139">
        <w:trPr>
          <w:cantSplit/>
          <w:trHeight w:val="489"/>
        </w:trPr>
        <w:tc>
          <w:tcPr>
            <w:tcW w:w="1796" w:type="dxa"/>
            <w:vAlign w:val="center"/>
          </w:tcPr>
          <w:p w14:paraId="6ED2A8A6" w14:textId="46521F44" w:rsidR="00115A68" w:rsidRDefault="006B01C6" w:rsidP="006B01C6">
            <w:pPr>
              <w:pStyle w:val="NormalWeb"/>
            </w:pPr>
            <w:r>
              <w:rPr>
                <w:rFonts w:ascii="TimesNewRomanPSMT" w:hAnsi="TimesNewRomanPSMT"/>
                <w:sz w:val="22"/>
                <w:szCs w:val="22"/>
              </w:rPr>
              <w:t xml:space="preserve">Jeannine E. Dingus-Eason </w:t>
            </w:r>
          </w:p>
        </w:tc>
        <w:tc>
          <w:tcPr>
            <w:tcW w:w="2889" w:type="dxa"/>
            <w:vAlign w:val="center"/>
          </w:tcPr>
          <w:p w14:paraId="229CC930" w14:textId="4F806D90" w:rsidR="00115A68" w:rsidRDefault="00115A68" w:rsidP="0015571B">
            <w:pPr>
              <w:spacing w:line="240" w:lineRule="auto"/>
            </w:pPr>
            <w:r>
              <w:t xml:space="preserve">Dean of </w:t>
            </w:r>
            <w:r w:rsidR="006B01C6">
              <w:t>FSEHD</w:t>
            </w:r>
          </w:p>
        </w:tc>
        <w:tc>
          <w:tcPr>
            <w:tcW w:w="4188" w:type="dxa"/>
            <w:vAlign w:val="center"/>
          </w:tcPr>
          <w:p w14:paraId="73DF0B07" w14:textId="002C78E3" w:rsidR="00115A68" w:rsidRPr="005A466A" w:rsidRDefault="005A466A" w:rsidP="0015571B">
            <w:pPr>
              <w:spacing w:line="240" w:lineRule="auto"/>
              <w:rPr>
                <w:sz w:val="24"/>
                <w:szCs w:val="24"/>
              </w:rPr>
            </w:pPr>
            <w:r>
              <w:fldChar w:fldCharType="begin"/>
            </w:r>
            <w:r>
              <w:instrText xml:space="preserve"> INCLUDEPICTURE "/var/folders/mx/_97rwk091gx86zwgfjyrpw0h0000gp/T/com.microsoft.Word/WebArchiveCopyPasteTempFiles/page5image3803552" \* MERGEFORMATINET </w:instrText>
            </w:r>
            <w:r>
              <w:fldChar w:fldCharType="separate"/>
            </w:r>
            <w:r>
              <w:rPr>
                <w:noProof/>
              </w:rPr>
              <w:drawing>
                <wp:inline distT="0" distB="0" distL="0" distR="0" wp14:anchorId="221D8693" wp14:editId="5577692D">
                  <wp:extent cx="1591945" cy="359410"/>
                  <wp:effectExtent l="0" t="0" r="0" b="0"/>
                  <wp:docPr id="1" name="Picture 1" descr="page5image380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3803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359410"/>
                          </a:xfrm>
                          <a:prstGeom prst="rect">
                            <a:avLst/>
                          </a:prstGeom>
                          <a:noFill/>
                          <a:ln>
                            <a:noFill/>
                          </a:ln>
                        </pic:spPr>
                      </pic:pic>
                    </a:graphicData>
                  </a:graphic>
                </wp:inline>
              </w:drawing>
            </w:r>
            <w:r>
              <w:fldChar w:fldCharType="end"/>
            </w:r>
          </w:p>
        </w:tc>
        <w:tc>
          <w:tcPr>
            <w:tcW w:w="1413" w:type="dxa"/>
            <w:vAlign w:val="center"/>
          </w:tcPr>
          <w:p w14:paraId="4EB70E84" w14:textId="1EBA105E" w:rsidR="00115A68" w:rsidRDefault="006B01C6" w:rsidP="0015571B">
            <w:pPr>
              <w:spacing w:line="240" w:lineRule="auto"/>
            </w:pPr>
            <w:r>
              <w:t>4/23/20</w:t>
            </w:r>
          </w:p>
        </w:tc>
      </w:tr>
      <w:tr w:rsidR="00911A5C" w14:paraId="62690125" w14:textId="77777777" w:rsidTr="004F2139">
        <w:trPr>
          <w:cantSplit/>
          <w:trHeight w:val="489"/>
        </w:trPr>
        <w:tc>
          <w:tcPr>
            <w:tcW w:w="1796" w:type="dxa"/>
            <w:vAlign w:val="center"/>
          </w:tcPr>
          <w:p w14:paraId="0F6DB95C" w14:textId="77777777" w:rsidR="00911A5C" w:rsidRDefault="00911A5C" w:rsidP="00DC5B0C">
            <w:pPr>
              <w:spacing w:line="240" w:lineRule="auto"/>
            </w:pPr>
            <w:r>
              <w:t>Praveena Gullapalli</w:t>
            </w:r>
          </w:p>
        </w:tc>
        <w:tc>
          <w:tcPr>
            <w:tcW w:w="2889" w:type="dxa"/>
            <w:vAlign w:val="center"/>
          </w:tcPr>
          <w:p w14:paraId="7F6CA4B5" w14:textId="77777777" w:rsidR="00911A5C" w:rsidRDefault="00911A5C" w:rsidP="00DC5B0C">
            <w:pPr>
              <w:spacing w:line="240" w:lineRule="auto"/>
            </w:pPr>
            <w:r>
              <w:t>Chair of ANTH</w:t>
            </w:r>
          </w:p>
        </w:tc>
        <w:tc>
          <w:tcPr>
            <w:tcW w:w="4188" w:type="dxa"/>
            <w:vAlign w:val="center"/>
          </w:tcPr>
          <w:p w14:paraId="05F7ACFE" w14:textId="77777777" w:rsidR="00911A5C" w:rsidRDefault="00911A5C" w:rsidP="00DC5B0C">
            <w:pPr>
              <w:spacing w:line="240" w:lineRule="auto"/>
            </w:pPr>
            <w:r w:rsidRPr="00D93E05">
              <w:rPr>
                <w:noProof/>
              </w:rPr>
              <w:drawing>
                <wp:inline distT="0" distB="0" distL="0" distR="0" wp14:anchorId="715DD84F" wp14:editId="38402FCF">
                  <wp:extent cx="1531620" cy="365760"/>
                  <wp:effectExtent l="0" t="0" r="0" b="0"/>
                  <wp:docPr id="4" name="Picture 4" descr="C:\Users\PG\Desktop\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Desktop\S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3449" cy="370973"/>
                          </a:xfrm>
                          <a:prstGeom prst="rect">
                            <a:avLst/>
                          </a:prstGeom>
                          <a:noFill/>
                          <a:ln>
                            <a:noFill/>
                          </a:ln>
                        </pic:spPr>
                      </pic:pic>
                    </a:graphicData>
                  </a:graphic>
                </wp:inline>
              </w:drawing>
            </w:r>
          </w:p>
        </w:tc>
        <w:tc>
          <w:tcPr>
            <w:tcW w:w="1413" w:type="dxa"/>
            <w:vAlign w:val="center"/>
          </w:tcPr>
          <w:p w14:paraId="09B43BDB" w14:textId="77777777" w:rsidR="00911A5C" w:rsidRDefault="00911A5C" w:rsidP="00DC5B0C">
            <w:pPr>
              <w:spacing w:line="240" w:lineRule="auto"/>
            </w:pPr>
            <w:r>
              <w:t>27 April 2020</w:t>
            </w:r>
          </w:p>
        </w:tc>
      </w:tr>
      <w:tr w:rsidR="00990B3E" w14:paraId="5B2E7807" w14:textId="77777777" w:rsidTr="004F2139">
        <w:trPr>
          <w:cantSplit/>
          <w:trHeight w:val="489"/>
        </w:trPr>
        <w:tc>
          <w:tcPr>
            <w:tcW w:w="1796" w:type="dxa"/>
            <w:vAlign w:val="center"/>
          </w:tcPr>
          <w:p w14:paraId="43BC7EA8" w14:textId="77777777" w:rsidR="008C2793" w:rsidRDefault="008C2793" w:rsidP="00DC5B0C">
            <w:pPr>
              <w:spacing w:line="240" w:lineRule="auto"/>
            </w:pPr>
            <w:r>
              <w:t>Anthony Galvez</w:t>
            </w:r>
          </w:p>
        </w:tc>
        <w:tc>
          <w:tcPr>
            <w:tcW w:w="2889" w:type="dxa"/>
            <w:vAlign w:val="center"/>
          </w:tcPr>
          <w:p w14:paraId="3153D44A" w14:textId="77777777" w:rsidR="008C2793" w:rsidRDefault="008C2793" w:rsidP="00DC5B0C">
            <w:pPr>
              <w:spacing w:line="240" w:lineRule="auto"/>
            </w:pPr>
            <w:r>
              <w:t>Chair of COMM</w:t>
            </w:r>
          </w:p>
        </w:tc>
        <w:tc>
          <w:tcPr>
            <w:tcW w:w="4188" w:type="dxa"/>
            <w:vAlign w:val="center"/>
          </w:tcPr>
          <w:p w14:paraId="7803EBE1" w14:textId="77777777" w:rsidR="008C2793" w:rsidRPr="00904DDC" w:rsidRDefault="008C2793" w:rsidP="00DC5B0C">
            <w:pPr>
              <w:spacing w:line="240" w:lineRule="auto"/>
              <w:rPr>
                <w:i/>
                <w:iCs/>
              </w:rPr>
            </w:pPr>
            <w:r>
              <w:rPr>
                <w:i/>
                <w:iCs/>
              </w:rPr>
              <w:t>Anthony Galvez</w:t>
            </w:r>
          </w:p>
        </w:tc>
        <w:tc>
          <w:tcPr>
            <w:tcW w:w="1413" w:type="dxa"/>
            <w:vAlign w:val="center"/>
          </w:tcPr>
          <w:p w14:paraId="497CFE24" w14:textId="77777777" w:rsidR="008C2793" w:rsidRDefault="008C2793" w:rsidP="00DC5B0C">
            <w:pPr>
              <w:spacing w:line="240" w:lineRule="auto"/>
            </w:pPr>
            <w:r>
              <w:t>4/27/20</w:t>
            </w:r>
          </w:p>
        </w:tc>
      </w:tr>
      <w:tr w:rsidR="004F2139" w14:paraId="416BFAC2" w14:textId="77777777" w:rsidTr="004F2139">
        <w:trPr>
          <w:cantSplit/>
          <w:trHeight w:val="489"/>
        </w:trPr>
        <w:tc>
          <w:tcPr>
            <w:tcW w:w="1796" w:type="dxa"/>
            <w:vAlign w:val="center"/>
          </w:tcPr>
          <w:p w14:paraId="1CCDD485" w14:textId="77777777" w:rsidR="004F2139" w:rsidRDefault="004F2139" w:rsidP="00DC5B0C">
            <w:pPr>
              <w:spacing w:line="240" w:lineRule="auto"/>
            </w:pPr>
            <w:r>
              <w:t>Leslie Schuster</w:t>
            </w:r>
          </w:p>
        </w:tc>
        <w:tc>
          <w:tcPr>
            <w:tcW w:w="2889" w:type="dxa"/>
            <w:vAlign w:val="center"/>
          </w:tcPr>
          <w:p w14:paraId="1F5EBB4D" w14:textId="77777777" w:rsidR="004F2139" w:rsidRDefault="004F2139" w:rsidP="00DC5B0C">
            <w:pPr>
              <w:spacing w:line="240" w:lineRule="auto"/>
            </w:pPr>
            <w:r>
              <w:t>Director of GEND</w:t>
            </w:r>
          </w:p>
        </w:tc>
        <w:tc>
          <w:tcPr>
            <w:tcW w:w="4188" w:type="dxa"/>
            <w:vAlign w:val="center"/>
          </w:tcPr>
          <w:p w14:paraId="1044294E" w14:textId="77777777" w:rsidR="004F2139" w:rsidRPr="00614291" w:rsidRDefault="004F2139" w:rsidP="00DC5B0C">
            <w:pPr>
              <w:spacing w:line="240" w:lineRule="auto"/>
              <w:rPr>
                <w:rFonts w:ascii="Bradley Hand ITC" w:hAnsi="Bradley Hand ITC"/>
                <w:b/>
                <w:sz w:val="28"/>
                <w:szCs w:val="28"/>
              </w:rPr>
            </w:pPr>
            <w:r w:rsidRPr="00614291">
              <w:rPr>
                <w:rFonts w:ascii="Bradley Hand ITC" w:hAnsi="Bradley Hand ITC"/>
                <w:b/>
                <w:sz w:val="28"/>
                <w:szCs w:val="28"/>
              </w:rPr>
              <w:t>Leslie A. Schuster</w:t>
            </w:r>
          </w:p>
        </w:tc>
        <w:tc>
          <w:tcPr>
            <w:tcW w:w="1413" w:type="dxa"/>
            <w:vAlign w:val="center"/>
          </w:tcPr>
          <w:p w14:paraId="21F14EE2" w14:textId="77777777" w:rsidR="004F2139" w:rsidRDefault="004F2139" w:rsidP="00DC5B0C">
            <w:pPr>
              <w:spacing w:line="240" w:lineRule="auto"/>
            </w:pPr>
            <w:r>
              <w:t>4/27/20</w:t>
            </w:r>
          </w:p>
        </w:tc>
      </w:tr>
      <w:tr w:rsidR="00990B3E" w14:paraId="2AA9FC27" w14:textId="77777777" w:rsidTr="004F2139">
        <w:trPr>
          <w:cantSplit/>
          <w:trHeight w:val="489"/>
        </w:trPr>
        <w:tc>
          <w:tcPr>
            <w:tcW w:w="1796" w:type="dxa"/>
            <w:vAlign w:val="center"/>
          </w:tcPr>
          <w:p w14:paraId="0176B25D" w14:textId="77777777" w:rsidR="00990B3E" w:rsidRDefault="00990B3E" w:rsidP="00DC5B0C">
            <w:pPr>
              <w:spacing w:line="240" w:lineRule="auto"/>
            </w:pPr>
            <w:bookmarkStart w:id="20" w:name="_GoBack"/>
            <w:bookmarkEnd w:id="20"/>
            <w:r>
              <w:t>Randi I. Kim</w:t>
            </w:r>
          </w:p>
        </w:tc>
        <w:tc>
          <w:tcPr>
            <w:tcW w:w="2889" w:type="dxa"/>
            <w:vAlign w:val="center"/>
          </w:tcPr>
          <w:p w14:paraId="41A53F2D" w14:textId="77777777" w:rsidR="00990B3E" w:rsidRDefault="00990B3E" w:rsidP="00DC5B0C">
            <w:pPr>
              <w:spacing w:line="240" w:lineRule="auto"/>
            </w:pPr>
            <w:r>
              <w:t>Chair of PSYC</w:t>
            </w:r>
          </w:p>
        </w:tc>
        <w:tc>
          <w:tcPr>
            <w:tcW w:w="4188" w:type="dxa"/>
            <w:vAlign w:val="center"/>
          </w:tcPr>
          <w:p w14:paraId="7B756D53" w14:textId="77777777" w:rsidR="00990B3E" w:rsidRPr="00322164" w:rsidRDefault="00990B3E" w:rsidP="00DC5B0C">
            <w:pPr>
              <w:spacing w:line="240" w:lineRule="auto"/>
              <w:rPr>
                <w:rFonts w:ascii="Segoe Print" w:hAnsi="Segoe Print"/>
              </w:rPr>
            </w:pPr>
            <w:r w:rsidRPr="00322164">
              <w:rPr>
                <w:rFonts w:ascii="Segoe Print" w:hAnsi="Segoe Print"/>
              </w:rPr>
              <w:t>Randi I. Kim</w:t>
            </w:r>
          </w:p>
        </w:tc>
        <w:tc>
          <w:tcPr>
            <w:tcW w:w="1413" w:type="dxa"/>
            <w:vAlign w:val="center"/>
          </w:tcPr>
          <w:p w14:paraId="62EFF57F" w14:textId="77777777" w:rsidR="00990B3E" w:rsidRDefault="00990B3E" w:rsidP="00DC5B0C">
            <w:pPr>
              <w:spacing w:line="240" w:lineRule="auto"/>
            </w:pPr>
            <w:r>
              <w:t>4/27/20</w:t>
            </w:r>
          </w:p>
        </w:tc>
      </w:tr>
      <w:tr w:rsidR="00694ABE" w14:paraId="30982046" w14:textId="77777777" w:rsidTr="004F2139">
        <w:trPr>
          <w:cantSplit/>
          <w:trHeight w:val="489"/>
        </w:trPr>
        <w:tc>
          <w:tcPr>
            <w:tcW w:w="1796" w:type="dxa"/>
            <w:vAlign w:val="center"/>
          </w:tcPr>
          <w:p w14:paraId="34393686" w14:textId="77777777" w:rsidR="00694ABE" w:rsidRDefault="00694ABE" w:rsidP="00DC5B0C">
            <w:pPr>
              <w:spacing w:line="240" w:lineRule="auto"/>
            </w:pPr>
            <w:r>
              <w:t>Mikaila Arthur</w:t>
            </w:r>
          </w:p>
        </w:tc>
        <w:tc>
          <w:tcPr>
            <w:tcW w:w="2889" w:type="dxa"/>
            <w:vAlign w:val="center"/>
          </w:tcPr>
          <w:p w14:paraId="11ED930B" w14:textId="77777777" w:rsidR="00694ABE" w:rsidRDefault="00694ABE" w:rsidP="00DC5B0C">
            <w:pPr>
              <w:spacing w:line="240" w:lineRule="auto"/>
            </w:pPr>
            <w:r>
              <w:t>Chair of SOC</w:t>
            </w:r>
          </w:p>
        </w:tc>
        <w:tc>
          <w:tcPr>
            <w:tcW w:w="4188" w:type="dxa"/>
            <w:vAlign w:val="center"/>
          </w:tcPr>
          <w:p w14:paraId="622EC7BD" w14:textId="77777777" w:rsidR="00694ABE" w:rsidRPr="009D01CD" w:rsidRDefault="00694ABE" w:rsidP="00DC5B0C">
            <w:pPr>
              <w:spacing w:line="240" w:lineRule="auto"/>
              <w:rPr>
                <w:rFonts w:ascii="Vladimir Script" w:hAnsi="Vladimir Script"/>
              </w:rPr>
            </w:pPr>
            <w:r>
              <w:rPr>
                <w:rFonts w:ascii="Vladimir Script" w:hAnsi="Vladimir Script"/>
                <w:noProof/>
              </w:rPr>
              <w:drawing>
                <wp:inline distT="0" distB="0" distL="0" distR="0" wp14:anchorId="571AE9A1" wp14:editId="3E81BB47">
                  <wp:extent cx="2522725" cy="245110"/>
                  <wp:effectExtent l="0" t="0" r="0" b="2540"/>
                  <wp:docPr id="3" name="Picture 3" descr="A insect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2">
                            <a:duotone>
                              <a:schemeClr val="accent1">
                                <a:shade val="45000"/>
                                <a:satMod val="135000"/>
                              </a:schemeClr>
                              <a:prstClr val="white"/>
                            </a:duotone>
                            <a:extLst>
                              <a:ext uri="{BEBA8EAE-BF5A-486C-A8C5-ECC9F3942E4B}">
                                <a14:imgProps xmlns:a14="http://schemas.microsoft.com/office/drawing/2010/main">
                                  <a14:imgLayer r:embed="rId13">
                                    <a14:imgEffect>
                                      <a14:artisticPhotocopy/>
                                    </a14:imgEffect>
                                    <a14:imgEffect>
                                      <a14:colorTemperature colorTemp="4700"/>
                                    </a14:imgEffect>
                                  </a14:imgLayer>
                                </a14:imgProps>
                              </a:ext>
                            </a:extLst>
                          </a:blip>
                          <a:stretch>
                            <a:fillRect/>
                          </a:stretch>
                        </pic:blipFill>
                        <pic:spPr>
                          <a:xfrm>
                            <a:off x="0" y="0"/>
                            <a:ext cx="2687764" cy="261145"/>
                          </a:xfrm>
                          <a:prstGeom prst="rect">
                            <a:avLst/>
                          </a:prstGeom>
                        </pic:spPr>
                      </pic:pic>
                    </a:graphicData>
                  </a:graphic>
                </wp:inline>
              </w:drawing>
            </w:r>
          </w:p>
        </w:tc>
        <w:tc>
          <w:tcPr>
            <w:tcW w:w="1413" w:type="dxa"/>
            <w:vAlign w:val="center"/>
          </w:tcPr>
          <w:p w14:paraId="37B18716" w14:textId="217CF406" w:rsidR="00694ABE" w:rsidRDefault="00694ABE" w:rsidP="00DC5B0C">
            <w:pPr>
              <w:spacing w:line="240" w:lineRule="auto"/>
            </w:pPr>
            <w:r>
              <w:t>4/27/2020</w:t>
            </w:r>
          </w:p>
        </w:tc>
      </w:tr>
      <w:tr w:rsidR="00074A72" w14:paraId="37F44A91" w14:textId="77777777" w:rsidTr="004F2139">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1796" w:type="dxa"/>
            <w:vAlign w:val="center"/>
          </w:tcPr>
          <w:p w14:paraId="6B80B193" w14:textId="77777777" w:rsidR="00074A72" w:rsidRDefault="00074A72" w:rsidP="00DC5B0C">
            <w:pPr>
              <w:spacing w:line="240" w:lineRule="auto"/>
            </w:pPr>
            <w:r>
              <w:t>Earl Simson</w:t>
            </w:r>
          </w:p>
        </w:tc>
        <w:tc>
          <w:tcPr>
            <w:tcW w:w="2889" w:type="dxa"/>
            <w:vAlign w:val="center"/>
          </w:tcPr>
          <w:p w14:paraId="43294B04" w14:textId="77777777" w:rsidR="00074A72" w:rsidRDefault="00074A72" w:rsidP="00DC5B0C">
            <w:pPr>
              <w:spacing w:line="240" w:lineRule="auto"/>
            </w:pPr>
            <w:r>
              <w:t>Dean FAS</w:t>
            </w:r>
          </w:p>
        </w:tc>
        <w:tc>
          <w:tcPr>
            <w:tcW w:w="4188" w:type="dxa"/>
            <w:vAlign w:val="center"/>
          </w:tcPr>
          <w:p w14:paraId="222FA09C" w14:textId="77777777" w:rsidR="00074A72" w:rsidRDefault="00074A72" w:rsidP="00DC5B0C">
            <w:pPr>
              <w:spacing w:line="240" w:lineRule="auto"/>
            </w:pPr>
            <w:r w:rsidRPr="2A861EC2">
              <w:rPr>
                <w:rFonts w:ascii="Brush Script MT" w:eastAsia="Brush Script MT" w:hAnsi="Brush Script MT" w:cs="Brush Script MT"/>
                <w:b/>
                <w:bCs/>
              </w:rPr>
              <w:t>Earl Simson</w:t>
            </w:r>
          </w:p>
        </w:tc>
        <w:tc>
          <w:tcPr>
            <w:tcW w:w="1413" w:type="dxa"/>
            <w:vAlign w:val="center"/>
          </w:tcPr>
          <w:p w14:paraId="18315771" w14:textId="77777777" w:rsidR="00074A72" w:rsidRDefault="00074A72" w:rsidP="00DC5B0C">
            <w:pPr>
              <w:spacing w:line="240" w:lineRule="auto"/>
            </w:pPr>
            <w:r>
              <w:t>04/27/2020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F5530C">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64447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61" w:type="dxa"/>
            <w:vAlign w:val="center"/>
          </w:tcPr>
          <w:p w14:paraId="1B58133B" w14:textId="77777777" w:rsidR="00115A68" w:rsidRPr="00A83A6C" w:rsidRDefault="00115A68" w:rsidP="0015571B">
            <w:pPr>
              <w:pStyle w:val="Heading5"/>
              <w:jc w:val="center"/>
            </w:pPr>
            <w:r w:rsidRPr="00A83A6C">
              <w:t>Date</w:t>
            </w:r>
          </w:p>
        </w:tc>
      </w:tr>
      <w:tr w:rsidR="00766D17" w:rsidRPr="00402602" w14:paraId="2975BCD6" w14:textId="77777777" w:rsidTr="00F5530C">
        <w:trPr>
          <w:cantSplit/>
          <w:tblHeader/>
        </w:trPr>
        <w:tc>
          <w:tcPr>
            <w:tcW w:w="3168" w:type="dxa"/>
            <w:vAlign w:val="center"/>
          </w:tcPr>
          <w:p w14:paraId="264A16D3" w14:textId="77777777" w:rsidR="00766D17" w:rsidRPr="00A83A6C" w:rsidRDefault="00766D17" w:rsidP="0015571B">
            <w:pPr>
              <w:pStyle w:val="Heading5"/>
              <w:jc w:val="center"/>
            </w:pPr>
          </w:p>
        </w:tc>
        <w:tc>
          <w:tcPr>
            <w:tcW w:w="3254" w:type="dxa"/>
            <w:vAlign w:val="center"/>
          </w:tcPr>
          <w:p w14:paraId="035A6AF5" w14:textId="77777777" w:rsidR="00766D17" w:rsidRPr="00A83A6C" w:rsidRDefault="00766D17" w:rsidP="0015571B">
            <w:pPr>
              <w:pStyle w:val="Heading5"/>
              <w:jc w:val="center"/>
            </w:pPr>
          </w:p>
        </w:tc>
        <w:tc>
          <w:tcPr>
            <w:tcW w:w="3197" w:type="dxa"/>
            <w:vAlign w:val="center"/>
          </w:tcPr>
          <w:p w14:paraId="3EC5E55D" w14:textId="77777777" w:rsidR="00766D17" w:rsidRDefault="00766D17" w:rsidP="0015571B">
            <w:pPr>
              <w:pStyle w:val="Heading5"/>
              <w:jc w:val="center"/>
            </w:pPr>
          </w:p>
        </w:tc>
        <w:tc>
          <w:tcPr>
            <w:tcW w:w="1161" w:type="dxa"/>
            <w:vAlign w:val="center"/>
          </w:tcPr>
          <w:p w14:paraId="48FCE8A4" w14:textId="77777777" w:rsidR="00766D17" w:rsidRPr="00A83A6C" w:rsidRDefault="00766D17" w:rsidP="0015571B">
            <w:pPr>
              <w:pStyle w:val="Heading5"/>
              <w:jc w:val="center"/>
            </w:pPr>
          </w:p>
        </w:tc>
      </w:tr>
    </w:tbl>
    <w:p w14:paraId="329B6D81" w14:textId="77777777" w:rsidR="00F64260" w:rsidRPr="001A37FB" w:rsidRDefault="00F64260" w:rsidP="00F5530C"/>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6CEC" w14:textId="77777777" w:rsidR="00644471" w:rsidRDefault="00644471" w:rsidP="00FA78CA">
      <w:pPr>
        <w:spacing w:line="240" w:lineRule="auto"/>
      </w:pPr>
      <w:r>
        <w:separator/>
      </w:r>
    </w:p>
  </w:endnote>
  <w:endnote w:type="continuationSeparator" w:id="0">
    <w:p w14:paraId="04CB3A84" w14:textId="77777777" w:rsidR="00644471" w:rsidRDefault="0064447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Calligraphy">
    <w:altName w:val="Cambria"/>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Bradley Hand ITC">
    <w:altName w:val="Calibri"/>
    <w:panose1 w:val="00000700000000000000"/>
    <w:charset w:val="00"/>
    <w:family w:val="script"/>
    <w:pitch w:val="variable"/>
    <w:sig w:usb0="00000003" w:usb1="00000000" w:usb2="00000000" w:usb3="00000000" w:csb0="00000001" w:csb1="00000000"/>
  </w:font>
  <w:font w:name="Segoe Print">
    <w:panose1 w:val="02000800000000000000"/>
    <w:charset w:val="00"/>
    <w:family w:val="auto"/>
    <w:pitch w:val="variable"/>
    <w:sig w:usb0="0000028F" w:usb1="00000000" w:usb2="00000000" w:usb3="00000000" w:csb0="0000009F" w:csb1="00000000"/>
  </w:font>
  <w:font w:name="Vladimir Script">
    <w:altName w:val="Calibri"/>
    <w:panose1 w:val="020B0604020202020204"/>
    <w:charset w:val="00"/>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5B21" w14:textId="77777777" w:rsidR="00644471" w:rsidRDefault="00644471" w:rsidP="00FA78CA">
      <w:pPr>
        <w:spacing w:line="240" w:lineRule="auto"/>
      </w:pPr>
      <w:r>
        <w:separator/>
      </w:r>
    </w:p>
  </w:footnote>
  <w:footnote w:type="continuationSeparator" w:id="0">
    <w:p w14:paraId="728D5F1E" w14:textId="77777777" w:rsidR="00644471" w:rsidRDefault="0064447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A35B5B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B01C6">
      <w:rPr>
        <w:color w:val="4F6228"/>
      </w:rPr>
      <w:t>19-20-143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B01C6">
      <w:rPr>
        <w:color w:val="4F6228"/>
      </w:rPr>
      <w:t>4/24/2020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0ACF"/>
    <w:multiLevelType w:val="hybridMultilevel"/>
    <w:tmpl w:val="A79A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E06A1"/>
    <w:multiLevelType w:val="hybridMultilevel"/>
    <w:tmpl w:val="F7D4439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DD1573"/>
    <w:multiLevelType w:val="hybridMultilevel"/>
    <w:tmpl w:val="3306D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053DFC"/>
    <w:multiLevelType w:val="hybridMultilevel"/>
    <w:tmpl w:val="5A2E3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A372B4"/>
    <w:multiLevelType w:val="hybridMultilevel"/>
    <w:tmpl w:val="7E8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8D57B6"/>
    <w:multiLevelType w:val="hybridMultilevel"/>
    <w:tmpl w:val="788AC79A"/>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6"/>
  </w:num>
  <w:num w:numId="6">
    <w:abstractNumId w:val="14"/>
  </w:num>
  <w:num w:numId="7">
    <w:abstractNumId w:val="3"/>
  </w:num>
  <w:num w:numId="8">
    <w:abstractNumId w:val="9"/>
  </w:num>
  <w:num w:numId="9">
    <w:abstractNumId w:val="12"/>
  </w:num>
  <w:num w:numId="10">
    <w:abstractNumId w:val="5"/>
  </w:num>
  <w:num w:numId="11">
    <w:abstractNumId w:val="16"/>
  </w:num>
  <w:num w:numId="12">
    <w:abstractNumId w:val="10"/>
  </w:num>
  <w:num w:numId="13">
    <w:abstractNumId w:val="7"/>
  </w:num>
  <w:num w:numId="14">
    <w:abstractNumId w:val="1"/>
  </w:num>
  <w:num w:numId="15">
    <w:abstractNumId w:val="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630A"/>
    <w:rsid w:val="000301C7"/>
    <w:rsid w:val="0004554C"/>
    <w:rsid w:val="000556B3"/>
    <w:rsid w:val="00074A72"/>
    <w:rsid w:val="000810FF"/>
    <w:rsid w:val="00093D95"/>
    <w:rsid w:val="00094E14"/>
    <w:rsid w:val="00094FD0"/>
    <w:rsid w:val="000A36CD"/>
    <w:rsid w:val="000B598E"/>
    <w:rsid w:val="000D1497"/>
    <w:rsid w:val="000D21F2"/>
    <w:rsid w:val="000E2CBA"/>
    <w:rsid w:val="001010FA"/>
    <w:rsid w:val="00101BA4"/>
    <w:rsid w:val="0010291E"/>
    <w:rsid w:val="001135BA"/>
    <w:rsid w:val="00115A68"/>
    <w:rsid w:val="0011690A"/>
    <w:rsid w:val="00120C12"/>
    <w:rsid w:val="001278A4"/>
    <w:rsid w:val="0013176C"/>
    <w:rsid w:val="00131B87"/>
    <w:rsid w:val="001429AA"/>
    <w:rsid w:val="00164AEF"/>
    <w:rsid w:val="001654AD"/>
    <w:rsid w:val="00176C55"/>
    <w:rsid w:val="00181A4B"/>
    <w:rsid w:val="001A37FB"/>
    <w:rsid w:val="001A51ED"/>
    <w:rsid w:val="001B2E3A"/>
    <w:rsid w:val="001B343C"/>
    <w:rsid w:val="0020058E"/>
    <w:rsid w:val="002303D9"/>
    <w:rsid w:val="00237355"/>
    <w:rsid w:val="00241866"/>
    <w:rsid w:val="002578DB"/>
    <w:rsid w:val="0026461B"/>
    <w:rsid w:val="00271C9B"/>
    <w:rsid w:val="0027634D"/>
    <w:rsid w:val="00284473"/>
    <w:rsid w:val="00290E18"/>
    <w:rsid w:val="00292D43"/>
    <w:rsid w:val="00293639"/>
    <w:rsid w:val="00296BA1"/>
    <w:rsid w:val="0029768B"/>
    <w:rsid w:val="002A3788"/>
    <w:rsid w:val="002B1FF7"/>
    <w:rsid w:val="002B24F6"/>
    <w:rsid w:val="002B7880"/>
    <w:rsid w:val="002C3D63"/>
    <w:rsid w:val="002D0316"/>
    <w:rsid w:val="002D04F9"/>
    <w:rsid w:val="002D194C"/>
    <w:rsid w:val="002F36B8"/>
    <w:rsid w:val="00310D95"/>
    <w:rsid w:val="003153C3"/>
    <w:rsid w:val="00345149"/>
    <w:rsid w:val="00352724"/>
    <w:rsid w:val="00376A8B"/>
    <w:rsid w:val="00391375"/>
    <w:rsid w:val="003A45F6"/>
    <w:rsid w:val="003B4A52"/>
    <w:rsid w:val="003C1A54"/>
    <w:rsid w:val="003C23FA"/>
    <w:rsid w:val="003C511E"/>
    <w:rsid w:val="003D7372"/>
    <w:rsid w:val="003F099C"/>
    <w:rsid w:val="003F4E82"/>
    <w:rsid w:val="00402602"/>
    <w:rsid w:val="004105B6"/>
    <w:rsid w:val="004254A0"/>
    <w:rsid w:val="004313E6"/>
    <w:rsid w:val="004403BD"/>
    <w:rsid w:val="00442EEA"/>
    <w:rsid w:val="00442F3B"/>
    <w:rsid w:val="00445690"/>
    <w:rsid w:val="004637DA"/>
    <w:rsid w:val="004779B4"/>
    <w:rsid w:val="00480FAA"/>
    <w:rsid w:val="004C0B41"/>
    <w:rsid w:val="004C5615"/>
    <w:rsid w:val="004E57C5"/>
    <w:rsid w:val="004F2139"/>
    <w:rsid w:val="004F4683"/>
    <w:rsid w:val="00517DB2"/>
    <w:rsid w:val="00526851"/>
    <w:rsid w:val="005473BC"/>
    <w:rsid w:val="0057347F"/>
    <w:rsid w:val="0057584D"/>
    <w:rsid w:val="005873E3"/>
    <w:rsid w:val="005A466A"/>
    <w:rsid w:val="005A6ACB"/>
    <w:rsid w:val="005B1049"/>
    <w:rsid w:val="005C23BD"/>
    <w:rsid w:val="005C358A"/>
    <w:rsid w:val="005C3F83"/>
    <w:rsid w:val="005C4DAD"/>
    <w:rsid w:val="005D389E"/>
    <w:rsid w:val="005F2A05"/>
    <w:rsid w:val="00633587"/>
    <w:rsid w:val="00644471"/>
    <w:rsid w:val="00651D3A"/>
    <w:rsid w:val="006643C9"/>
    <w:rsid w:val="00670869"/>
    <w:rsid w:val="006761E1"/>
    <w:rsid w:val="00683987"/>
    <w:rsid w:val="00694ABE"/>
    <w:rsid w:val="006970B0"/>
    <w:rsid w:val="006B01C6"/>
    <w:rsid w:val="006B20A9"/>
    <w:rsid w:val="006E3AF2"/>
    <w:rsid w:val="006E6680"/>
    <w:rsid w:val="006F7F90"/>
    <w:rsid w:val="00704CFF"/>
    <w:rsid w:val="00706745"/>
    <w:rsid w:val="007072F7"/>
    <w:rsid w:val="00714B57"/>
    <w:rsid w:val="0072301B"/>
    <w:rsid w:val="0074235B"/>
    <w:rsid w:val="00743AD2"/>
    <w:rsid w:val="007445F4"/>
    <w:rsid w:val="00744D8C"/>
    <w:rsid w:val="007554DE"/>
    <w:rsid w:val="00760EA6"/>
    <w:rsid w:val="00766256"/>
    <w:rsid w:val="00766D17"/>
    <w:rsid w:val="00795D54"/>
    <w:rsid w:val="00796AF7"/>
    <w:rsid w:val="007970C3"/>
    <w:rsid w:val="007A5702"/>
    <w:rsid w:val="007B10BE"/>
    <w:rsid w:val="008122C6"/>
    <w:rsid w:val="0085229B"/>
    <w:rsid w:val="008555D8"/>
    <w:rsid w:val="008628B1"/>
    <w:rsid w:val="00865915"/>
    <w:rsid w:val="00872775"/>
    <w:rsid w:val="008745BA"/>
    <w:rsid w:val="00880392"/>
    <w:rsid w:val="00881769"/>
    <w:rsid w:val="008836DF"/>
    <w:rsid w:val="008847FE"/>
    <w:rsid w:val="00891A32"/>
    <w:rsid w:val="0089234B"/>
    <w:rsid w:val="008927AF"/>
    <w:rsid w:val="0089400B"/>
    <w:rsid w:val="008B1F84"/>
    <w:rsid w:val="008C2793"/>
    <w:rsid w:val="008D52B7"/>
    <w:rsid w:val="008E0FCD"/>
    <w:rsid w:val="008E3EFA"/>
    <w:rsid w:val="008F175C"/>
    <w:rsid w:val="00905E67"/>
    <w:rsid w:val="00911A5C"/>
    <w:rsid w:val="00913143"/>
    <w:rsid w:val="009275CB"/>
    <w:rsid w:val="00936421"/>
    <w:rsid w:val="009458D2"/>
    <w:rsid w:val="00946B20"/>
    <w:rsid w:val="0098046D"/>
    <w:rsid w:val="00984B36"/>
    <w:rsid w:val="00990B3E"/>
    <w:rsid w:val="009A4E6F"/>
    <w:rsid w:val="009A58C1"/>
    <w:rsid w:val="009B4B02"/>
    <w:rsid w:val="009C1440"/>
    <w:rsid w:val="009E035D"/>
    <w:rsid w:val="009F029C"/>
    <w:rsid w:val="009F2F3E"/>
    <w:rsid w:val="00A01611"/>
    <w:rsid w:val="00A04A92"/>
    <w:rsid w:val="00A06E22"/>
    <w:rsid w:val="00A11DCD"/>
    <w:rsid w:val="00A30B27"/>
    <w:rsid w:val="00A32214"/>
    <w:rsid w:val="00A3549F"/>
    <w:rsid w:val="00A43F27"/>
    <w:rsid w:val="00A442D7"/>
    <w:rsid w:val="00A53D6F"/>
    <w:rsid w:val="00A54783"/>
    <w:rsid w:val="00A5525B"/>
    <w:rsid w:val="00A56D5F"/>
    <w:rsid w:val="00A6264E"/>
    <w:rsid w:val="00A703CD"/>
    <w:rsid w:val="00A716AA"/>
    <w:rsid w:val="00A76B76"/>
    <w:rsid w:val="00A83A6C"/>
    <w:rsid w:val="00A85BAB"/>
    <w:rsid w:val="00A87611"/>
    <w:rsid w:val="00A94B5A"/>
    <w:rsid w:val="00A960DC"/>
    <w:rsid w:val="00AC3032"/>
    <w:rsid w:val="00AE6112"/>
    <w:rsid w:val="00AE7895"/>
    <w:rsid w:val="00AE78C2"/>
    <w:rsid w:val="00AE7A3D"/>
    <w:rsid w:val="00B12BAB"/>
    <w:rsid w:val="00B20954"/>
    <w:rsid w:val="00B24AAC"/>
    <w:rsid w:val="00B26F16"/>
    <w:rsid w:val="00B27BF9"/>
    <w:rsid w:val="00B35315"/>
    <w:rsid w:val="00B4771F"/>
    <w:rsid w:val="00B4784B"/>
    <w:rsid w:val="00B51B79"/>
    <w:rsid w:val="00B605CE"/>
    <w:rsid w:val="00B61C08"/>
    <w:rsid w:val="00B649C4"/>
    <w:rsid w:val="00B77369"/>
    <w:rsid w:val="00B82B64"/>
    <w:rsid w:val="00B85F49"/>
    <w:rsid w:val="00B862BF"/>
    <w:rsid w:val="00B87B39"/>
    <w:rsid w:val="00BB11B9"/>
    <w:rsid w:val="00BC1BC8"/>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B30C4"/>
    <w:rsid w:val="00CB4E88"/>
    <w:rsid w:val="00CC03A7"/>
    <w:rsid w:val="00CC3E7A"/>
    <w:rsid w:val="00CD18DD"/>
    <w:rsid w:val="00CF0458"/>
    <w:rsid w:val="00D56C09"/>
    <w:rsid w:val="00D615E4"/>
    <w:rsid w:val="00D64DF4"/>
    <w:rsid w:val="00D65F02"/>
    <w:rsid w:val="00D67735"/>
    <w:rsid w:val="00D75B84"/>
    <w:rsid w:val="00D75FF8"/>
    <w:rsid w:val="00D96C1E"/>
    <w:rsid w:val="00DA1CC6"/>
    <w:rsid w:val="00DA73A0"/>
    <w:rsid w:val="00DB23D4"/>
    <w:rsid w:val="00DB63D4"/>
    <w:rsid w:val="00DD2F36"/>
    <w:rsid w:val="00DD69AE"/>
    <w:rsid w:val="00DE2B7A"/>
    <w:rsid w:val="00DE35F1"/>
    <w:rsid w:val="00DF4FCD"/>
    <w:rsid w:val="00DF7C07"/>
    <w:rsid w:val="00E36AF7"/>
    <w:rsid w:val="00E4755D"/>
    <w:rsid w:val="00E641DE"/>
    <w:rsid w:val="00EB33FD"/>
    <w:rsid w:val="00EC194E"/>
    <w:rsid w:val="00EC63A4"/>
    <w:rsid w:val="00EC7B24"/>
    <w:rsid w:val="00ED1712"/>
    <w:rsid w:val="00F10220"/>
    <w:rsid w:val="00F15B95"/>
    <w:rsid w:val="00F32311"/>
    <w:rsid w:val="00F3256C"/>
    <w:rsid w:val="00F32980"/>
    <w:rsid w:val="00F33A14"/>
    <w:rsid w:val="00F42F5D"/>
    <w:rsid w:val="00F5530C"/>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6B01C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BC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2782">
      <w:bodyDiv w:val="1"/>
      <w:marLeft w:val="0"/>
      <w:marRight w:val="0"/>
      <w:marTop w:val="0"/>
      <w:marBottom w:val="0"/>
      <w:divBdr>
        <w:top w:val="none" w:sz="0" w:space="0" w:color="auto"/>
        <w:left w:val="none" w:sz="0" w:space="0" w:color="auto"/>
        <w:bottom w:val="none" w:sz="0" w:space="0" w:color="auto"/>
        <w:right w:val="none" w:sz="0" w:space="0" w:color="auto"/>
      </w:divBdr>
      <w:divsChild>
        <w:div w:id="1761178172">
          <w:marLeft w:val="0"/>
          <w:marRight w:val="0"/>
          <w:marTop w:val="0"/>
          <w:marBottom w:val="0"/>
          <w:divBdr>
            <w:top w:val="none" w:sz="0" w:space="0" w:color="auto"/>
            <w:left w:val="none" w:sz="0" w:space="0" w:color="auto"/>
            <w:bottom w:val="none" w:sz="0" w:space="0" w:color="auto"/>
            <w:right w:val="none" w:sz="0" w:space="0" w:color="auto"/>
          </w:divBdr>
          <w:divsChild>
            <w:div w:id="1745448994">
              <w:marLeft w:val="0"/>
              <w:marRight w:val="0"/>
              <w:marTop w:val="0"/>
              <w:marBottom w:val="0"/>
              <w:divBdr>
                <w:top w:val="none" w:sz="0" w:space="0" w:color="auto"/>
                <w:left w:val="none" w:sz="0" w:space="0" w:color="auto"/>
                <w:bottom w:val="none" w:sz="0" w:space="0" w:color="auto"/>
                <w:right w:val="none" w:sz="0" w:space="0" w:color="auto"/>
              </w:divBdr>
              <w:divsChild>
                <w:div w:id="1001659136">
                  <w:marLeft w:val="0"/>
                  <w:marRight w:val="0"/>
                  <w:marTop w:val="0"/>
                  <w:marBottom w:val="0"/>
                  <w:divBdr>
                    <w:top w:val="none" w:sz="0" w:space="0" w:color="auto"/>
                    <w:left w:val="none" w:sz="0" w:space="0" w:color="auto"/>
                    <w:bottom w:val="none" w:sz="0" w:space="0" w:color="auto"/>
                    <w:right w:val="none" w:sz="0" w:space="0" w:color="auto"/>
                  </w:divBdr>
                  <w:divsChild>
                    <w:div w:id="20826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9300">
      <w:bodyDiv w:val="1"/>
      <w:marLeft w:val="0"/>
      <w:marRight w:val="0"/>
      <w:marTop w:val="0"/>
      <w:marBottom w:val="0"/>
      <w:divBdr>
        <w:top w:val="none" w:sz="0" w:space="0" w:color="auto"/>
        <w:left w:val="none" w:sz="0" w:space="0" w:color="auto"/>
        <w:bottom w:val="none" w:sz="0" w:space="0" w:color="auto"/>
        <w:right w:val="none" w:sz="0" w:space="0" w:color="auto"/>
      </w:divBdr>
    </w:div>
    <w:div w:id="1722317077">
      <w:bodyDiv w:val="1"/>
      <w:marLeft w:val="0"/>
      <w:marRight w:val="0"/>
      <w:marTop w:val="0"/>
      <w:marBottom w:val="0"/>
      <w:divBdr>
        <w:top w:val="none" w:sz="0" w:space="0" w:color="auto"/>
        <w:left w:val="none" w:sz="0" w:space="0" w:color="auto"/>
        <w:bottom w:val="none" w:sz="0" w:space="0" w:color="auto"/>
        <w:right w:val="none" w:sz="0" w:space="0" w:color="auto"/>
      </w:divBdr>
      <w:divsChild>
        <w:div w:id="1649087572">
          <w:marLeft w:val="0"/>
          <w:marRight w:val="0"/>
          <w:marTop w:val="0"/>
          <w:marBottom w:val="0"/>
          <w:divBdr>
            <w:top w:val="none" w:sz="0" w:space="0" w:color="auto"/>
            <w:left w:val="none" w:sz="0" w:space="0" w:color="auto"/>
            <w:bottom w:val="none" w:sz="0" w:space="0" w:color="auto"/>
            <w:right w:val="none" w:sz="0" w:space="0" w:color="auto"/>
          </w:divBdr>
        </w:div>
      </w:divsChild>
    </w:div>
    <w:div w:id="1768382221">
      <w:bodyDiv w:val="1"/>
      <w:marLeft w:val="0"/>
      <w:marRight w:val="0"/>
      <w:marTop w:val="0"/>
      <w:marBottom w:val="0"/>
      <w:divBdr>
        <w:top w:val="none" w:sz="0" w:space="0" w:color="auto"/>
        <w:left w:val="none" w:sz="0" w:space="0" w:color="auto"/>
        <w:bottom w:val="none" w:sz="0" w:space="0" w:color="auto"/>
        <w:right w:val="none" w:sz="0" w:space="0" w:color="auto"/>
      </w:divBdr>
      <w:divsChild>
        <w:div w:id="312564989">
          <w:marLeft w:val="0"/>
          <w:marRight w:val="0"/>
          <w:marTop w:val="0"/>
          <w:marBottom w:val="0"/>
          <w:divBdr>
            <w:top w:val="none" w:sz="0" w:space="0" w:color="auto"/>
            <w:left w:val="none" w:sz="0" w:space="0" w:color="auto"/>
            <w:bottom w:val="none" w:sz="0" w:space="0" w:color="auto"/>
            <w:right w:val="none" w:sz="0" w:space="0" w:color="auto"/>
          </w:divBdr>
          <w:divsChild>
            <w:div w:id="10298147">
              <w:marLeft w:val="0"/>
              <w:marRight w:val="0"/>
              <w:marTop w:val="0"/>
              <w:marBottom w:val="0"/>
              <w:divBdr>
                <w:top w:val="none" w:sz="0" w:space="0" w:color="auto"/>
                <w:left w:val="none" w:sz="0" w:space="0" w:color="auto"/>
                <w:bottom w:val="none" w:sz="0" w:space="0" w:color="auto"/>
                <w:right w:val="none" w:sz="0" w:space="0" w:color="auto"/>
              </w:divBdr>
              <w:divsChild>
                <w:div w:id="851993690">
                  <w:marLeft w:val="0"/>
                  <w:marRight w:val="0"/>
                  <w:marTop w:val="0"/>
                  <w:marBottom w:val="0"/>
                  <w:divBdr>
                    <w:top w:val="none" w:sz="0" w:space="0" w:color="auto"/>
                    <w:left w:val="none" w:sz="0" w:space="0" w:color="auto"/>
                    <w:bottom w:val="none" w:sz="0" w:space="0" w:color="auto"/>
                    <w:right w:val="none" w:sz="0" w:space="0" w:color="auto"/>
                  </w:divBdr>
                  <w:divsChild>
                    <w:div w:id="1844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microsoft.com/office/2007/relationships/hdphoto" Target="media/hdphoto1.wdp"/><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67Z3ZXSPZZWZ-949-1215</_dlc_DocId>
    <_dlc_DocIdUrl xmlns="67887a43-7e4d-4c1c-91d7-15e417b1b8ab">
      <Url>https://w3.ric.edu/curriculum_committee/_layouts/15/DocIdRedir.aspx?ID=67Z3ZXSPZZWZ-949-1215</Url>
      <Description>67Z3ZXSPZZWZ-949-1215</Description>
    </_dlc_DocIdUrl>
  </documentManagement>
</p:properties>
</file>

<file path=customXml/itemProps1.xml><?xml version="1.0" encoding="utf-8"?>
<ds:datastoreItem xmlns:ds="http://schemas.openxmlformats.org/officeDocument/2006/customXml" ds:itemID="{56F9F3FB-5184-4824-A2BF-3090C7E9548B}"/>
</file>

<file path=customXml/itemProps2.xml><?xml version="1.0" encoding="utf-8"?>
<ds:datastoreItem xmlns:ds="http://schemas.openxmlformats.org/officeDocument/2006/customXml" ds:itemID="{A8F56540-B6ED-488F-B500-740D03DF5513}"/>
</file>

<file path=customXml/itemProps3.xml><?xml version="1.0" encoding="utf-8"?>
<ds:datastoreItem xmlns:ds="http://schemas.openxmlformats.org/officeDocument/2006/customXml" ds:itemID="{5E27FCA0-38BA-4B25-A1D6-CF142390F6FA}"/>
</file>

<file path=customXml/itemProps4.xml><?xml version="1.0" encoding="utf-8"?>
<ds:datastoreItem xmlns:ds="http://schemas.openxmlformats.org/officeDocument/2006/customXml" ds:itemID="{AD76CB28-A70D-4EAE-B416-2504C441F056}"/>
</file>

<file path=docProps/app.xml><?xml version="1.0" encoding="utf-8"?>
<Properties xmlns="http://schemas.openxmlformats.org/officeDocument/2006/extended-properties" xmlns:vt="http://schemas.openxmlformats.org/officeDocument/2006/docPropsVTypes">
  <Template>Normal.dotm</Template>
  <TotalTime>45</TotalTime>
  <Pages>5</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19</cp:revision>
  <cp:lastPrinted>2020-02-12T01:17:00Z</cp:lastPrinted>
  <dcterms:created xsi:type="dcterms:W3CDTF">2020-04-10T10:54:00Z</dcterms:created>
  <dcterms:modified xsi:type="dcterms:W3CDTF">2020-04-27T23:35:00Z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a2143ddc-32d8-4e57-ac2a-34e40e284f2c</vt:lpwstr>
  </property>
  <property fmtid="{D5CDD505-2E9C-101B-9397-08002B2CF9AE}" pid="8" name="ContentTypeId">
    <vt:lpwstr>0x0101009736D43DC7C38546B966A7508121890B</vt:lpwstr>
  </property>
</Properties>
</file>