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2501"/>
        <w:gridCol w:w="1393"/>
        <w:gridCol w:w="1216"/>
        <w:gridCol w:w="2993"/>
        <w:gridCol w:w="282"/>
      </w:tblGrid>
      <w:tr w:rsidR="00345149" w:rsidRPr="006E3AF2" w14:paraId="11EC5F63" w14:textId="77777777" w:rsidTr="00345149">
        <w:trPr>
          <w:cantSplit/>
        </w:trPr>
        <w:tc>
          <w:tcPr>
            <w:tcW w:w="1111" w:type="pct"/>
            <w:vAlign w:val="center"/>
          </w:tcPr>
          <w:p w14:paraId="664345C7" w14:textId="1901DC6E"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 xml:space="preserve"> program</w:t>
              </w:r>
            </w:hyperlink>
          </w:p>
        </w:tc>
        <w:tc>
          <w:tcPr>
            <w:tcW w:w="3758" w:type="pct"/>
            <w:gridSpan w:val="4"/>
          </w:tcPr>
          <w:p w14:paraId="3DD8DB7A" w14:textId="624BBA68" w:rsidR="00F64260" w:rsidRPr="00A83A6C" w:rsidRDefault="001A558F" w:rsidP="00B862BF">
            <w:pPr>
              <w:pStyle w:val="Heading5"/>
              <w:rPr>
                <w:b/>
              </w:rPr>
            </w:pPr>
            <w:bookmarkStart w:id="0" w:name="Proposal"/>
            <w:bookmarkEnd w:id="0"/>
            <w:r>
              <w:rPr>
                <w:b/>
              </w:rPr>
              <w:t xml:space="preserve">Queer studies minor </w:t>
            </w:r>
            <w:r w:rsidR="00531DF6">
              <w:rPr>
                <w:b/>
              </w:rPr>
              <w:t xml:space="preserve">(under the auspices of Gender and Women’s Studies) </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7721D75" w:rsidR="00F64260" w:rsidRPr="00B649C4" w:rsidRDefault="00F64260" w:rsidP="00310D95">
            <w:pPr>
              <w:jc w:val="right"/>
            </w:pP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123CC8BE" w:rsidR="00F64260" w:rsidRPr="005F2A05" w:rsidRDefault="00F64260" w:rsidP="000A36CD">
            <w:pPr>
              <w:rPr>
                <w:b/>
              </w:rPr>
            </w:pPr>
            <w:r w:rsidRPr="005F2A05">
              <w:rPr>
                <w:b/>
              </w:rPr>
              <w:t xml:space="preserve">Program: </w:t>
            </w:r>
            <w:r>
              <w:rPr>
                <w:b/>
              </w:rPr>
              <w:t xml:space="preserve"> </w:t>
            </w:r>
            <w:hyperlink w:anchor="creation" w:tooltip="New programs also need additional approval by the Board of Governors before going into effect" w:history="1">
              <w:r w:rsidRPr="00A87611">
                <w:rPr>
                  <w:rStyle w:val="Hyperlink"/>
                  <w:b/>
                </w:rPr>
                <w:t>creation</w:t>
              </w:r>
            </w:hyperlink>
            <w:r w:rsidRPr="005F2A05">
              <w:rPr>
                <w:b/>
              </w:rPr>
              <w:t xml:space="preserve"> |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211ABCD4" w:rsidR="00F64260" w:rsidRPr="00B605CE" w:rsidRDefault="001A558F" w:rsidP="00B862BF">
            <w:pPr>
              <w:rPr>
                <w:b/>
              </w:rPr>
            </w:pPr>
            <w:bookmarkStart w:id="4" w:name="Originator"/>
            <w:bookmarkEnd w:id="4"/>
            <w:r>
              <w:rPr>
                <w:b/>
              </w:rPr>
              <w:t xml:space="preserve">Leslie Schuster </w:t>
            </w:r>
          </w:p>
        </w:tc>
        <w:tc>
          <w:tcPr>
            <w:tcW w:w="1210" w:type="pct"/>
            <w:gridSpan w:val="2"/>
          </w:tcPr>
          <w:p w14:paraId="788D9512" w14:textId="2D9F7E85" w:rsidR="00F64260" w:rsidRPr="00946B20" w:rsidRDefault="00F12C82" w:rsidP="00B862BF">
            <w:r>
              <w:t>Home Department</w:t>
            </w:r>
          </w:p>
        </w:tc>
        <w:tc>
          <w:tcPr>
            <w:tcW w:w="1519" w:type="pct"/>
            <w:gridSpan w:val="2"/>
          </w:tcPr>
          <w:p w14:paraId="6A9CD084" w14:textId="672FB435" w:rsidR="00F64260" w:rsidRPr="00B605CE" w:rsidRDefault="00F12C82" w:rsidP="00B862BF">
            <w:pPr>
              <w:rPr>
                <w:b/>
              </w:rPr>
            </w:pPr>
            <w:bookmarkStart w:id="5" w:name="home_dept"/>
            <w:bookmarkEnd w:id="5"/>
            <w:r>
              <w:t>Gender and Women’s Studies program</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4D4A7206" w14:textId="77777777" w:rsidR="00F64260" w:rsidRDefault="00F64260">
            <w:pPr>
              <w:spacing w:line="240" w:lineRule="auto"/>
              <w:rPr>
                <w:b/>
              </w:rPr>
            </w:pPr>
            <w:bookmarkStart w:id="6" w:name="Rationale"/>
            <w:bookmarkEnd w:id="6"/>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8149"/>
            </w:tblGrid>
            <w:tr w:rsidR="00A705F5" w:rsidRPr="00FA6998" w14:paraId="48C8AE83" w14:textId="77777777" w:rsidTr="00657D84">
              <w:trPr>
                <w:trHeight w:val="2689"/>
              </w:trPr>
              <w:tc>
                <w:tcPr>
                  <w:tcW w:w="5000" w:type="pct"/>
                </w:tcPr>
                <w:p w14:paraId="4519D6A1" w14:textId="75A9A643" w:rsidR="00B737D0" w:rsidRDefault="001169F7" w:rsidP="00B737D0">
                  <w:pPr>
                    <w:spacing w:line="240" w:lineRule="auto"/>
                    <w:rPr>
                      <w:rFonts w:ascii="Times New Roman" w:hAnsi="Times New Roman"/>
                      <w:sz w:val="24"/>
                      <w:szCs w:val="24"/>
                    </w:rPr>
                  </w:pPr>
                  <w:r>
                    <w:rPr>
                      <w:rFonts w:ascii="Times New Roman" w:hAnsi="Times New Roman"/>
                      <w:sz w:val="24"/>
                      <w:szCs w:val="24"/>
                    </w:rPr>
                    <w:t xml:space="preserve">Our rationale for the course </w:t>
                  </w:r>
                  <w:r w:rsidR="00355BD2">
                    <w:rPr>
                      <w:rFonts w:ascii="Times New Roman" w:hAnsi="Times New Roman"/>
                      <w:sz w:val="24"/>
                      <w:szCs w:val="24"/>
                    </w:rPr>
                    <w:t>has four elements</w:t>
                  </w:r>
                  <w:r>
                    <w:rPr>
                      <w:rFonts w:ascii="Times New Roman" w:hAnsi="Times New Roman"/>
                      <w:sz w:val="24"/>
                      <w:szCs w:val="24"/>
                    </w:rPr>
                    <w:t xml:space="preserve">; </w:t>
                  </w:r>
                  <w:r w:rsidR="00355BD2">
                    <w:rPr>
                      <w:rFonts w:ascii="Times New Roman" w:hAnsi="Times New Roman"/>
                      <w:sz w:val="24"/>
                      <w:szCs w:val="24"/>
                    </w:rPr>
                    <w:t xml:space="preserve">the importance of the </w:t>
                  </w:r>
                  <w:r>
                    <w:rPr>
                      <w:rFonts w:ascii="Times New Roman" w:hAnsi="Times New Roman"/>
                      <w:sz w:val="24"/>
                      <w:szCs w:val="24"/>
                    </w:rPr>
                    <w:t>scholarship, its fit as part of our inclusive</w:t>
                  </w:r>
                  <w:r w:rsidR="00355BD2">
                    <w:rPr>
                      <w:rFonts w:ascii="Times New Roman" w:hAnsi="Times New Roman"/>
                      <w:sz w:val="24"/>
                      <w:szCs w:val="24"/>
                    </w:rPr>
                    <w:t xml:space="preserve"> curriculum, professional development and identity.  </w:t>
                  </w:r>
                </w:p>
                <w:p w14:paraId="0B4BB51C" w14:textId="77777777" w:rsidR="00B737D0" w:rsidRPr="00355BD2" w:rsidRDefault="00B737D0" w:rsidP="00B737D0">
                  <w:pPr>
                    <w:spacing w:line="240" w:lineRule="auto"/>
                    <w:rPr>
                      <w:rFonts w:ascii="Times New Roman" w:hAnsi="Times New Roman"/>
                      <w:b/>
                      <w:sz w:val="24"/>
                      <w:szCs w:val="24"/>
                    </w:rPr>
                  </w:pPr>
                  <w:r w:rsidRPr="00355BD2">
                    <w:rPr>
                      <w:rFonts w:ascii="Times New Roman" w:hAnsi="Times New Roman"/>
                      <w:b/>
                      <w:sz w:val="24"/>
                      <w:szCs w:val="24"/>
                    </w:rPr>
                    <w:t>Academic / curriculum</w:t>
                  </w:r>
                </w:p>
                <w:p w14:paraId="726FA5BF" w14:textId="77777777" w:rsidR="00B737D0" w:rsidRDefault="00B737D0" w:rsidP="00B737D0">
                  <w:pPr>
                    <w:spacing w:line="240" w:lineRule="auto"/>
                    <w:rPr>
                      <w:rFonts w:ascii="Times New Roman" w:hAnsi="Times New Roman"/>
                      <w:sz w:val="24"/>
                      <w:szCs w:val="24"/>
                    </w:rPr>
                  </w:pPr>
                  <w:r>
                    <w:rPr>
                      <w:rFonts w:ascii="Times New Roman" w:hAnsi="Times New Roman"/>
                      <w:sz w:val="24"/>
                      <w:szCs w:val="24"/>
                    </w:rPr>
                    <w:t>The minor offers an important field of scholarship to our students that dozens of colleges and universities have been providing for decades.  Queer Studies is an interdisciplinary field of inquiry that examines the histories, lives, identities, experiences and struggles of queer people.  Queerness is an umbrella term that is broadly used to refer to individuals and identities that are (currently) understood as culturally non-normative, especially of genders and sexualities such as lesbian, gay, bisexual, transgender, intersexed, asexual, and others.  Some central questions in queer studies include:  How is gender and sexuality constructed and maintained?  How to other social identities (e.g. race, class, age, nation, ability, etc.) and institutional structures (e.g. the state, religion, education, etc.) shape and inform queerness</w:t>
                  </w:r>
                  <w:r w:rsidRPr="00854C62">
                    <w:rPr>
                      <w:rFonts w:ascii="Times New Roman" w:hAnsi="Times New Roman"/>
                      <w:sz w:val="24"/>
                      <w:szCs w:val="24"/>
                    </w:rPr>
                    <w:t xml:space="preserve">? What do members of queer communities have in common? How do they differ?  </w:t>
                  </w:r>
                </w:p>
                <w:p w14:paraId="560BE8DD" w14:textId="77777777" w:rsidR="00F12C82" w:rsidRDefault="00F12C82" w:rsidP="00B737D0">
                  <w:pPr>
                    <w:spacing w:line="240" w:lineRule="auto"/>
                    <w:rPr>
                      <w:rFonts w:ascii="Times New Roman" w:hAnsi="Times New Roman"/>
                      <w:sz w:val="24"/>
                      <w:szCs w:val="24"/>
                    </w:rPr>
                  </w:pPr>
                </w:p>
                <w:p w14:paraId="0613FCAD" w14:textId="085C3FE5" w:rsidR="00B737D0" w:rsidRPr="00854C62" w:rsidRDefault="00B737D0" w:rsidP="00B737D0">
                  <w:pPr>
                    <w:spacing w:line="240" w:lineRule="auto"/>
                    <w:rPr>
                      <w:rFonts w:ascii="Times New Roman" w:hAnsi="Times New Roman"/>
                      <w:sz w:val="24"/>
                      <w:szCs w:val="24"/>
                    </w:rPr>
                  </w:pPr>
                  <w:r>
                    <w:rPr>
                      <w:rFonts w:ascii="Times New Roman" w:hAnsi="Times New Roman"/>
                      <w:sz w:val="24"/>
                      <w:szCs w:val="24"/>
                    </w:rPr>
                    <w:t>As Queer Studies is an interdisciplinary endeavor, Rhode Island College already currently offers courses and employs faculty members in Psychology, English, Anthropology, Social Work, and Education (to name just a few) with expertise in areas that will serve the minor.</w:t>
                  </w:r>
                </w:p>
                <w:p w14:paraId="47D12A26" w14:textId="77777777" w:rsidR="00B737D0" w:rsidRDefault="00B737D0" w:rsidP="00B737D0">
                  <w:pPr>
                    <w:spacing w:line="240" w:lineRule="auto"/>
                    <w:rPr>
                      <w:rFonts w:ascii="Times New Roman" w:hAnsi="Times New Roman"/>
                      <w:sz w:val="24"/>
                      <w:szCs w:val="24"/>
                    </w:rPr>
                  </w:pPr>
                </w:p>
                <w:p w14:paraId="59BCA236" w14:textId="77777777" w:rsidR="00B737D0" w:rsidRDefault="00B737D0" w:rsidP="00B737D0">
                  <w:pPr>
                    <w:spacing w:line="240" w:lineRule="auto"/>
                    <w:rPr>
                      <w:rFonts w:ascii="Times New Roman" w:hAnsi="Times New Roman"/>
                      <w:sz w:val="24"/>
                      <w:szCs w:val="24"/>
                    </w:rPr>
                  </w:pPr>
                  <w:r>
                    <w:rPr>
                      <w:rFonts w:ascii="Times New Roman" w:hAnsi="Times New Roman"/>
                      <w:sz w:val="24"/>
                      <w:szCs w:val="24"/>
                    </w:rPr>
                    <w:t xml:space="preserve">In Winter 2012, the </w:t>
                  </w:r>
                  <w:r w:rsidRPr="00E1254E">
                    <w:rPr>
                      <w:rFonts w:ascii="Times New Roman" w:hAnsi="Times New Roman"/>
                      <w:sz w:val="24"/>
                      <w:szCs w:val="24"/>
                    </w:rPr>
                    <w:t xml:space="preserve">Association of American Colleges and Universities </w:t>
                  </w:r>
                  <w:r>
                    <w:rPr>
                      <w:rFonts w:ascii="Times New Roman" w:hAnsi="Times New Roman"/>
                      <w:sz w:val="24"/>
                      <w:szCs w:val="24"/>
                    </w:rPr>
                    <w:t>offered a special collection of essays that includes language that dovetails with the five pillars of excellence articulated by Dr. Frank Sanchez.  The collection was entitled, “</w:t>
                  </w:r>
                  <w:r w:rsidRPr="00E1254E">
                    <w:rPr>
                      <w:rFonts w:ascii="Times New Roman" w:hAnsi="Times New Roman"/>
                      <w:sz w:val="24"/>
                      <w:szCs w:val="24"/>
                    </w:rPr>
                    <w:t>Making Excellence Inclusive: Higher Education's LGBTQ Contexts</w:t>
                  </w:r>
                  <w:r>
                    <w:rPr>
                      <w:rFonts w:ascii="Times New Roman" w:hAnsi="Times New Roman"/>
                      <w:sz w:val="24"/>
                      <w:szCs w:val="24"/>
                    </w:rPr>
                    <w:t>.”    In that special issue, Nick Davis (2012) states, “</w:t>
                  </w:r>
                  <w:r w:rsidRPr="00E1254E">
                    <w:rPr>
                      <w:rFonts w:ascii="Times New Roman" w:hAnsi="Times New Roman"/>
                      <w:sz w:val="24"/>
                      <w:szCs w:val="24"/>
                    </w:rPr>
                    <w:t xml:space="preserve">Genders and sexualities of all stripes deserve to be valued as centerpieces, not sidebars, within histories of human thought. To address these subjects as complex ideas in perpetual flux—as </w:t>
                  </w:r>
                  <w:r w:rsidRPr="00E1254E">
                    <w:rPr>
                      <w:rFonts w:ascii="Times New Roman" w:hAnsi="Times New Roman"/>
                      <w:sz w:val="24"/>
                      <w:szCs w:val="24"/>
                    </w:rPr>
                    <w:lastRenderedPageBreak/>
                    <w:t>theories, not facts—challenges students to think critically and to engage across differences.</w:t>
                  </w:r>
                  <w:r>
                    <w:rPr>
                      <w:rFonts w:ascii="Times New Roman" w:hAnsi="Times New Roman"/>
                      <w:sz w:val="24"/>
                      <w:szCs w:val="24"/>
                    </w:rPr>
                    <w:t>”</w:t>
                  </w:r>
                </w:p>
                <w:p w14:paraId="34A7DB58" w14:textId="6BDA5CE8" w:rsidR="00B737D0" w:rsidRPr="005F5A69" w:rsidRDefault="00B737D0" w:rsidP="00B737D0">
                  <w:pPr>
                    <w:spacing w:line="240" w:lineRule="auto"/>
                    <w:rPr>
                      <w:rFonts w:ascii="Times New Roman" w:hAnsi="Times New Roman"/>
                      <w:sz w:val="24"/>
                      <w:szCs w:val="24"/>
                    </w:rPr>
                  </w:pPr>
                  <w:r>
                    <w:rPr>
                      <w:rFonts w:ascii="Times New Roman" w:hAnsi="Times New Roman"/>
                      <w:sz w:val="24"/>
                      <w:szCs w:val="24"/>
                    </w:rPr>
                    <w:t xml:space="preserve">New knowledge and perspectives force educators to constantly rethink a standard or traditional curriculum and pedagogy, also deemed “Learning Innovation” by Dr. Frank Sanchez.  </w:t>
                  </w:r>
                  <w:r w:rsidR="00355BD2">
                    <w:rPr>
                      <w:rFonts w:ascii="Times New Roman" w:hAnsi="Times New Roman"/>
                      <w:sz w:val="24"/>
                      <w:szCs w:val="24"/>
                    </w:rPr>
                    <w:t>For example, o</w:t>
                  </w:r>
                  <w:r>
                    <w:rPr>
                      <w:rFonts w:ascii="Times New Roman" w:hAnsi="Times New Roman"/>
                      <w:sz w:val="24"/>
                      <w:szCs w:val="24"/>
                    </w:rPr>
                    <w:t>ver the last 50 years, historians have been confronted with new knowledge and</w:t>
                  </w:r>
                  <w:r w:rsidR="00355BD2">
                    <w:rPr>
                      <w:rFonts w:ascii="Times New Roman" w:hAnsi="Times New Roman"/>
                      <w:sz w:val="24"/>
                      <w:szCs w:val="24"/>
                    </w:rPr>
                    <w:t xml:space="preserve"> perspectives</w:t>
                  </w:r>
                  <w:r>
                    <w:rPr>
                      <w:rFonts w:ascii="Times New Roman" w:hAnsi="Times New Roman"/>
                      <w:sz w:val="24"/>
                      <w:szCs w:val="24"/>
                    </w:rPr>
                    <w:t xml:space="preserve"> </w:t>
                  </w:r>
                  <w:r w:rsidR="00355BD2">
                    <w:rPr>
                      <w:rFonts w:ascii="Times New Roman" w:hAnsi="Times New Roman"/>
                      <w:sz w:val="24"/>
                      <w:szCs w:val="24"/>
                    </w:rPr>
                    <w:t xml:space="preserve">that </w:t>
                  </w:r>
                  <w:r>
                    <w:rPr>
                      <w:rFonts w:ascii="Times New Roman" w:hAnsi="Times New Roman"/>
                      <w:sz w:val="24"/>
                      <w:szCs w:val="24"/>
                    </w:rPr>
                    <w:t xml:space="preserve">moved the field, often reluctantly, from the study of those in power to the study of women, the working class, immigrants and other marginalized groups.  Unlike many private liberal arts schools, Rhode Island College’s serves significant numbers of students represented in these underserved and disenfranchised groups. Gender Studies as a discipline developed from similar dynamics, emerging from the streets to the ivory tower, that led to independent Gender Studies programs and departments.  In that same vein, Queer Studies centers the experiences of queer people from interdisciplinary and multidisciplinary perspectives.  </w:t>
                  </w:r>
                </w:p>
                <w:p w14:paraId="26967DC3" w14:textId="77777777" w:rsidR="00B737D0" w:rsidRDefault="00B737D0" w:rsidP="00B737D0">
                  <w:pPr>
                    <w:spacing w:line="240" w:lineRule="auto"/>
                    <w:rPr>
                      <w:rFonts w:ascii="Times New Roman" w:hAnsi="Times New Roman"/>
                      <w:sz w:val="24"/>
                      <w:szCs w:val="24"/>
                    </w:rPr>
                  </w:pPr>
                  <w:r>
                    <w:rPr>
                      <w:rFonts w:ascii="Times New Roman" w:hAnsi="Times New Roman"/>
                      <w:sz w:val="24"/>
                      <w:szCs w:val="24"/>
                    </w:rPr>
                    <w:t xml:space="preserve">Finally, a </w:t>
                  </w:r>
                  <w:r w:rsidRPr="005F5A69">
                    <w:rPr>
                      <w:rFonts w:ascii="Times New Roman" w:hAnsi="Times New Roman"/>
                      <w:sz w:val="24"/>
                      <w:szCs w:val="24"/>
                    </w:rPr>
                    <w:t xml:space="preserve">minor </w:t>
                  </w:r>
                  <w:r>
                    <w:rPr>
                      <w:rFonts w:ascii="Times New Roman" w:hAnsi="Times New Roman"/>
                      <w:sz w:val="24"/>
                      <w:szCs w:val="24"/>
                    </w:rPr>
                    <w:t xml:space="preserve">in Queer Studies </w:t>
                  </w:r>
                  <w:r w:rsidRPr="005F5A69">
                    <w:rPr>
                      <w:rFonts w:ascii="Times New Roman" w:hAnsi="Times New Roman"/>
                      <w:sz w:val="24"/>
                      <w:szCs w:val="24"/>
                    </w:rPr>
                    <w:t>strengthens gender and women’s studies</w:t>
                  </w:r>
                  <w:r>
                    <w:rPr>
                      <w:rFonts w:ascii="Times New Roman" w:hAnsi="Times New Roman"/>
                      <w:sz w:val="24"/>
                      <w:szCs w:val="24"/>
                    </w:rPr>
                    <w:t xml:space="preserve"> by expanding its focus and attracting new students</w:t>
                  </w:r>
                  <w:r w:rsidRPr="005F5A69">
                    <w:rPr>
                      <w:rFonts w:ascii="Times New Roman" w:hAnsi="Times New Roman"/>
                      <w:sz w:val="24"/>
                      <w:szCs w:val="24"/>
                    </w:rPr>
                    <w:t xml:space="preserve">. </w:t>
                  </w:r>
                  <w:r>
                    <w:rPr>
                      <w:rFonts w:ascii="Times New Roman" w:hAnsi="Times New Roman"/>
                      <w:sz w:val="24"/>
                      <w:szCs w:val="24"/>
                    </w:rPr>
                    <w:t xml:space="preserve"> </w:t>
                  </w:r>
                </w:p>
                <w:p w14:paraId="07402F16" w14:textId="77777777" w:rsidR="00B737D0" w:rsidRDefault="00B737D0" w:rsidP="00B737D0">
                  <w:pPr>
                    <w:spacing w:line="240" w:lineRule="auto"/>
                    <w:rPr>
                      <w:rFonts w:ascii="Times New Roman" w:hAnsi="Times New Roman"/>
                      <w:sz w:val="24"/>
                      <w:szCs w:val="24"/>
                    </w:rPr>
                  </w:pPr>
                </w:p>
                <w:p w14:paraId="5D144E11" w14:textId="74D1F7E9" w:rsidR="00B737D0" w:rsidRPr="00355BD2" w:rsidRDefault="00B737D0" w:rsidP="00B737D0">
                  <w:pPr>
                    <w:spacing w:line="240" w:lineRule="auto"/>
                    <w:rPr>
                      <w:rFonts w:ascii="Times New Roman" w:hAnsi="Times New Roman"/>
                      <w:b/>
                      <w:sz w:val="24"/>
                      <w:szCs w:val="24"/>
                    </w:rPr>
                  </w:pPr>
                  <w:r w:rsidRPr="00355BD2">
                    <w:rPr>
                      <w:rFonts w:ascii="Times New Roman" w:hAnsi="Times New Roman"/>
                      <w:b/>
                      <w:sz w:val="24"/>
                      <w:szCs w:val="24"/>
                    </w:rPr>
                    <w:t xml:space="preserve">Identity  </w:t>
                  </w:r>
                </w:p>
                <w:p w14:paraId="6F03CF32" w14:textId="4CD75F1F" w:rsidR="00B737D0" w:rsidRDefault="00B737D0" w:rsidP="00B737D0">
                  <w:pPr>
                    <w:spacing w:line="240" w:lineRule="auto"/>
                    <w:rPr>
                      <w:rFonts w:ascii="Times New Roman" w:hAnsi="Times New Roman"/>
                      <w:sz w:val="24"/>
                      <w:szCs w:val="24"/>
                    </w:rPr>
                  </w:pPr>
                  <w:r>
                    <w:rPr>
                      <w:rFonts w:ascii="Times New Roman" w:hAnsi="Times New Roman"/>
                      <w:sz w:val="24"/>
                      <w:szCs w:val="24"/>
                    </w:rPr>
                    <w:t xml:space="preserve">Perhaps most importantly, students report that they need classroom experiences that offer a safer space, where their various identities and experiences are reflected in their studies, not excluded from them.  Their lifelong academic journey will be more rewarding and meaningful if they are not “kept from” queer studies.  It is impossible to adequately explain what the Introduction to Queer Studies course has meant to them, both in terms of content and climate.  Many report that this curriculum has impacted them in powerful ways.  One student reported that they have never spoken in any other class because of the ways that fellow students and faculty have overtly mocked or silently derided them for their gender and sexuality expression.  </w:t>
                  </w:r>
                </w:p>
                <w:p w14:paraId="1ACCC6EF" w14:textId="77777777" w:rsidR="00B737D0" w:rsidRDefault="00B737D0" w:rsidP="00B737D0">
                  <w:pPr>
                    <w:spacing w:line="240" w:lineRule="auto"/>
                    <w:rPr>
                      <w:rFonts w:ascii="Times New Roman" w:hAnsi="Times New Roman"/>
                      <w:sz w:val="24"/>
                      <w:szCs w:val="24"/>
                    </w:rPr>
                  </w:pPr>
                </w:p>
                <w:p w14:paraId="00309606" w14:textId="77777777" w:rsidR="00B737D0" w:rsidRDefault="00B737D0" w:rsidP="00B737D0">
                  <w:pPr>
                    <w:spacing w:line="240" w:lineRule="auto"/>
                    <w:rPr>
                      <w:rFonts w:ascii="Times New Roman" w:hAnsi="Times New Roman"/>
                      <w:sz w:val="24"/>
                      <w:szCs w:val="24"/>
                    </w:rPr>
                  </w:pPr>
                  <w:r>
                    <w:rPr>
                      <w:rFonts w:ascii="Times New Roman" w:hAnsi="Times New Roman"/>
                      <w:sz w:val="24"/>
                      <w:szCs w:val="24"/>
                    </w:rPr>
                    <w:t xml:space="preserve">Another </w:t>
                  </w:r>
                  <w:r w:rsidRPr="00EF753D">
                    <w:rPr>
                      <w:rFonts w:ascii="Times New Roman" w:hAnsi="Times New Roman"/>
                      <w:sz w:val="24"/>
                      <w:szCs w:val="24"/>
                    </w:rPr>
                    <w:t>student said, “Having knowledge about something so important is powerful. The singular queer studies course we offer at RIC has taught me so much about myself and the LGBTQ+ community in general.”</w:t>
                  </w:r>
                </w:p>
                <w:p w14:paraId="3CF875D2" w14:textId="77777777" w:rsidR="00B737D0" w:rsidRPr="00EF753D" w:rsidRDefault="00B737D0" w:rsidP="00B737D0">
                  <w:pPr>
                    <w:spacing w:line="240" w:lineRule="auto"/>
                    <w:rPr>
                      <w:rFonts w:ascii="Times New Roman" w:hAnsi="Times New Roman"/>
                      <w:sz w:val="24"/>
                      <w:szCs w:val="24"/>
                    </w:rPr>
                  </w:pPr>
                </w:p>
                <w:p w14:paraId="62F8042C" w14:textId="77777777" w:rsidR="00B737D0" w:rsidRDefault="00B737D0" w:rsidP="00B737D0">
                  <w:pPr>
                    <w:spacing w:line="240" w:lineRule="auto"/>
                    <w:rPr>
                      <w:rFonts w:ascii="Times New Roman" w:eastAsia="Calibri" w:hAnsi="Times New Roman"/>
                      <w:sz w:val="24"/>
                      <w:szCs w:val="24"/>
                    </w:rPr>
                  </w:pPr>
                  <w:r w:rsidRPr="00EF753D">
                    <w:rPr>
                      <w:rFonts w:ascii="Times New Roman" w:eastAsia="Calibri" w:hAnsi="Times New Roman"/>
                      <w:sz w:val="24"/>
                      <w:szCs w:val="24"/>
                    </w:rPr>
                    <w:t>Another wrote, “Being queer is part of my identity and I think it's important to know about what queers had to do in history for us to get to where we are now. Having queer studies available would also help me to learn about the many aspects of being queer so that I don't only understand myself but others too that identify as queer in other ways. It's important for everyone in the college to get the opportunity to study the LGBTQ+ community because it is a growing community that not many people understand or are properly educated about, and that only allows growth for ignorance and stigmatization upon the community."</w:t>
                  </w:r>
                </w:p>
                <w:p w14:paraId="6575E286" w14:textId="76801C39" w:rsidR="00F12C82" w:rsidRDefault="00F12C82" w:rsidP="00B737D0">
                  <w:pPr>
                    <w:spacing w:line="240" w:lineRule="auto"/>
                    <w:rPr>
                      <w:rFonts w:ascii="Times New Roman" w:hAnsi="Times New Roman"/>
                      <w:sz w:val="24"/>
                      <w:szCs w:val="24"/>
                    </w:rPr>
                  </w:pPr>
                </w:p>
                <w:p w14:paraId="35318BB0" w14:textId="6CB9F5AA" w:rsidR="00A705F5" w:rsidRPr="00FA6998" w:rsidRDefault="00F12C82" w:rsidP="00F12C82">
                  <w:pPr>
                    <w:spacing w:line="240" w:lineRule="auto"/>
                    <w:rPr>
                      <w:b/>
                    </w:rPr>
                  </w:pPr>
                  <w:r>
                    <w:rPr>
                      <w:rFonts w:ascii="Times New Roman" w:hAnsi="Times New Roman"/>
                      <w:sz w:val="24"/>
                      <w:szCs w:val="24"/>
                    </w:rPr>
                    <w:t xml:space="preserve">While some of the required electives in other </w:t>
                  </w:r>
                  <w:r w:rsidR="00020320">
                    <w:rPr>
                      <w:rFonts w:ascii="Times New Roman" w:hAnsi="Times New Roman"/>
                      <w:sz w:val="24"/>
                      <w:szCs w:val="24"/>
                    </w:rPr>
                    <w:t>department</w:t>
                  </w:r>
                  <w:r>
                    <w:rPr>
                      <w:rFonts w:ascii="Times New Roman" w:hAnsi="Times New Roman"/>
                      <w:sz w:val="24"/>
                      <w:szCs w:val="24"/>
                    </w:rPr>
                    <w:t xml:space="preserve"> have prerequisites that students taking this Minor may not have completed, they all allow for consent of director or department chair as an option, </w:t>
                  </w:r>
                  <w:r w:rsidR="000D445A">
                    <w:rPr>
                      <w:rFonts w:ascii="Times New Roman" w:hAnsi="Times New Roman"/>
                      <w:sz w:val="24"/>
                      <w:szCs w:val="24"/>
                    </w:rPr>
                    <w:t>which would allow for</w:t>
                  </w:r>
                  <w:r>
                    <w:rPr>
                      <w:rFonts w:ascii="Times New Roman" w:hAnsi="Times New Roman"/>
                      <w:sz w:val="24"/>
                      <w:szCs w:val="24"/>
                    </w:rPr>
                    <w:t xml:space="preserve"> students</w:t>
                  </w:r>
                  <w:r w:rsidR="000D445A">
                    <w:rPr>
                      <w:rFonts w:ascii="Times New Roman" w:hAnsi="Times New Roman"/>
                      <w:sz w:val="24"/>
                      <w:szCs w:val="24"/>
                    </w:rPr>
                    <w:t xml:space="preserve"> </w:t>
                  </w:r>
                  <w:r>
                    <w:rPr>
                      <w:rFonts w:ascii="Times New Roman" w:hAnsi="Times New Roman"/>
                      <w:sz w:val="24"/>
                      <w:szCs w:val="24"/>
                    </w:rPr>
                    <w:t xml:space="preserve">to </w:t>
                  </w:r>
                  <w:r w:rsidR="000D445A">
                    <w:rPr>
                      <w:rFonts w:ascii="Times New Roman" w:hAnsi="Times New Roman"/>
                      <w:sz w:val="24"/>
                      <w:szCs w:val="24"/>
                    </w:rPr>
                    <w:t>request</w:t>
                  </w:r>
                  <w:r>
                    <w:rPr>
                      <w:rFonts w:ascii="Times New Roman" w:hAnsi="Times New Roman"/>
                      <w:sz w:val="24"/>
                      <w:szCs w:val="24"/>
                    </w:rPr>
                    <w:t xml:space="preserve"> </w:t>
                  </w:r>
                  <w:r w:rsidR="000D445A">
                    <w:rPr>
                      <w:rFonts w:ascii="Times New Roman" w:hAnsi="Times New Roman"/>
                      <w:sz w:val="24"/>
                      <w:szCs w:val="24"/>
                    </w:rPr>
                    <w:t>enrollment from those department, and they are aware of this possibility and willing to accept students who appear ready for the courses.</w:t>
                  </w:r>
                </w:p>
              </w:tc>
            </w:tr>
          </w:tbl>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18B63EC4" w:rsidR="00517DB2" w:rsidRPr="00B649C4" w:rsidRDefault="00F12C82" w:rsidP="00517DB2">
            <w:pPr>
              <w:rPr>
                <w:b/>
              </w:rPr>
            </w:pPr>
            <w:bookmarkStart w:id="7" w:name="student_impact"/>
            <w:bookmarkEnd w:id="7"/>
            <w:r>
              <w:rPr>
                <w:rFonts w:ascii="Times New Roman" w:hAnsi="Times New Roman"/>
                <w:sz w:val="24"/>
                <w:szCs w:val="24"/>
              </w:rPr>
              <w:t xml:space="preserve">This proposal emerged from student interest.  Students independently organized to express their arguments and rationale for the creation of this minor.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279F7152" w:rsidR="00517DB2" w:rsidRPr="00B649C4" w:rsidRDefault="001A558F" w:rsidP="00517DB2">
            <w:pPr>
              <w:rPr>
                <w:b/>
              </w:rPr>
            </w:pPr>
            <w:bookmarkStart w:id="8" w:name="prog_impact"/>
            <w:bookmarkEnd w:id="8"/>
            <w:r>
              <w:rPr>
                <w:b/>
              </w:rPr>
              <w:t xml:space="preserve">This interdisciplinary program will </w:t>
            </w:r>
            <w:r w:rsidR="00531DF6">
              <w:rPr>
                <w:b/>
              </w:rPr>
              <w:t>build on courses that exist in other programs</w:t>
            </w:r>
            <w:r w:rsidR="00F12C82">
              <w:rPr>
                <w:b/>
              </w:rPr>
              <w:t>, including ANTH, FILM, PSYC, and SWRK</w:t>
            </w:r>
            <w:r w:rsidR="00531DF6">
              <w:rPr>
                <w:b/>
              </w:rPr>
              <w:t xml:space="preserve">.  In this way, it will introduce </w:t>
            </w:r>
            <w:r>
              <w:rPr>
                <w:b/>
              </w:rPr>
              <w:t>students to</w:t>
            </w:r>
            <w:r w:rsidR="00BE33BA">
              <w:rPr>
                <w:b/>
              </w:rPr>
              <w:t xml:space="preserve"> these</w:t>
            </w:r>
            <w:r>
              <w:rPr>
                <w:b/>
              </w:rPr>
              <w:t xml:space="preserve"> programs</w:t>
            </w:r>
            <w:r w:rsidR="00C36E9E">
              <w:rPr>
                <w:b/>
              </w:rPr>
              <w:t xml:space="preserve"> but will not require additional resources.</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481346"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1A4D1D29" w:rsidR="008D52B7" w:rsidRPr="00C25F9D" w:rsidRDefault="00F12C82"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481346"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5E7959C" w:rsidR="008D52B7" w:rsidRPr="00C25F9D" w:rsidRDefault="00F12C82"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481346"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38E0305" w:rsidR="008D52B7" w:rsidRPr="00C25F9D" w:rsidRDefault="00F12C82"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481346"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9803636" w:rsidR="008D52B7" w:rsidRPr="00C25F9D" w:rsidRDefault="00F12C82" w:rsidP="008D52B7">
            <w:pPr>
              <w:rPr>
                <w:b/>
              </w:rPr>
            </w:pPr>
            <w:r>
              <w:rPr>
                <w:b/>
              </w:rPr>
              <w:t>none</w:t>
            </w:r>
          </w:p>
        </w:tc>
      </w:tr>
      <w:tr w:rsidR="00657D84" w:rsidRPr="006E3AF2" w14:paraId="6C89A581" w14:textId="77777777" w:rsidTr="00657D84">
        <w:trPr>
          <w:cantSplit/>
        </w:trPr>
        <w:tc>
          <w:tcPr>
            <w:tcW w:w="1111" w:type="pct"/>
            <w:vAlign w:val="center"/>
          </w:tcPr>
          <w:p w14:paraId="78658CED" w14:textId="77777777" w:rsidR="00657D84" w:rsidRDefault="00657D84" w:rsidP="00A1661D">
            <w:pPr>
              <w:rPr>
                <w:rStyle w:val="Hyperlink"/>
              </w:rPr>
            </w:pPr>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p w14:paraId="22E79A62" w14:textId="372E6FE1" w:rsidR="00657D84" w:rsidRPr="00B649C4" w:rsidRDefault="00657D84" w:rsidP="00A1661D"/>
        </w:tc>
        <w:tc>
          <w:tcPr>
            <w:tcW w:w="1160" w:type="pct"/>
          </w:tcPr>
          <w:p w14:paraId="2A1A78BF" w14:textId="0B86E93A" w:rsidR="00657D84" w:rsidRPr="00B605CE" w:rsidRDefault="00657D84" w:rsidP="00A1661D">
            <w:pPr>
              <w:rPr>
                <w:b/>
              </w:rPr>
            </w:pPr>
            <w:bookmarkStart w:id="9" w:name="date_submitted"/>
            <w:bookmarkEnd w:id="9"/>
            <w:r>
              <w:rPr>
                <w:b/>
              </w:rPr>
              <w:t>Spring 2020</w:t>
            </w:r>
          </w:p>
        </w:tc>
        <w:tc>
          <w:tcPr>
            <w:tcW w:w="646" w:type="pct"/>
          </w:tcPr>
          <w:p w14:paraId="438DDCF1" w14:textId="77777777" w:rsidR="00657D84" w:rsidRDefault="00657D84" w:rsidP="00A1661D">
            <w:pPr>
              <w:rPr>
                <w:b/>
              </w:rPr>
            </w:pPr>
            <w:r>
              <w:t xml:space="preserve">A.9.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8D52B7">
                <w:rPr>
                  <w:rStyle w:val="Hyperlink"/>
                </w:rPr>
                <w:t>Rationale if sooner than next Fall</w:t>
              </w:r>
            </w:hyperlink>
          </w:p>
        </w:tc>
        <w:tc>
          <w:tcPr>
            <w:tcW w:w="2083" w:type="pct"/>
            <w:gridSpan w:val="3"/>
          </w:tcPr>
          <w:p w14:paraId="3E2A0188" w14:textId="5E9055F2" w:rsidR="00657D84" w:rsidRPr="00B605CE" w:rsidRDefault="00657D84" w:rsidP="00A1661D">
            <w:pPr>
              <w:rPr>
                <w:b/>
              </w:rPr>
            </w:pPr>
            <w:r>
              <w:rPr>
                <w:b/>
              </w:rPr>
              <w:t>Students who have already taken many of these courses, and are graduating in the spring, would like their transcript to reflect completion of the Queer Studies Minor. Many of these students will pursue careers working within the LGBTQ+ community. Recognition of this minor would be advantageous in their pursuit of employment.</w:t>
            </w:r>
          </w:p>
        </w:tc>
      </w:tr>
      <w:tr w:rsidR="00A1661D" w:rsidRPr="006E3AF2" w14:paraId="017D18C5" w14:textId="77777777">
        <w:trPr>
          <w:cantSplit/>
        </w:trPr>
        <w:tc>
          <w:tcPr>
            <w:tcW w:w="5000" w:type="pct"/>
            <w:gridSpan w:val="6"/>
            <w:vAlign w:val="center"/>
          </w:tcPr>
          <w:p w14:paraId="2F7047BE" w14:textId="3C27DD48" w:rsidR="00A1661D" w:rsidRPr="00913143" w:rsidRDefault="00A1661D" w:rsidP="00A1661D">
            <w:pPr>
              <w:rPr>
                <w:sz w:val="20"/>
                <w:szCs w:val="20"/>
              </w:rPr>
            </w:pPr>
            <w:r w:rsidRPr="00913143">
              <w:rPr>
                <w:sz w:val="20"/>
                <w:szCs w:val="20"/>
              </w:rPr>
              <w:t xml:space="preserve">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Pr="00A703CD">
              <w:rPr>
                <w:b/>
                <w:sz w:val="20"/>
                <w:szCs w:val="20"/>
              </w:rPr>
              <w:t>delete any catalog pages not relevant for this proposal</w:t>
            </w:r>
            <w:r w:rsidRPr="00913143">
              <w:rPr>
                <w:sz w:val="20"/>
                <w:szCs w:val="20"/>
              </w:rPr>
              <w:t xml:space="preserve">.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w:t>
            </w:r>
            <w:r>
              <w:rPr>
                <w:sz w:val="20"/>
                <w:szCs w:val="20"/>
              </w:rPr>
              <w:t xml:space="preserve">single </w:t>
            </w:r>
            <w:r w:rsidRPr="00913143">
              <w:rPr>
                <w:sz w:val="20"/>
                <w:szCs w:val="20"/>
              </w:rPr>
              <w:t>file along with this form</w:t>
            </w:r>
            <w:r>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100"/>
        <w:gridCol w:w="4580"/>
      </w:tblGrid>
      <w:tr w:rsidR="00F64260" w:rsidRPr="006E3AF2" w14:paraId="6EE19C38" w14:textId="77777777" w:rsidTr="006F64BB">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100" w:type="dxa"/>
            <w:noWrap/>
          </w:tcPr>
          <w:p w14:paraId="36406A3D" w14:textId="706597D3" w:rsidR="00913143" w:rsidRPr="00913143" w:rsidRDefault="00241866" w:rsidP="00913143">
            <w:r>
              <w:t xml:space="preserve"> </w:t>
            </w:r>
          </w:p>
        </w:tc>
        <w:tc>
          <w:tcPr>
            <w:tcW w:w="458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F12C82">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100" w:type="dxa"/>
            <w:noWrap/>
          </w:tcPr>
          <w:p w14:paraId="1E34A8E4" w14:textId="2780BA4C" w:rsidR="00F64260" w:rsidRPr="009F029C" w:rsidRDefault="00657D84" w:rsidP="001429AA">
            <w:pPr>
              <w:spacing w:line="240" w:lineRule="auto"/>
              <w:rPr>
                <w:b/>
              </w:rPr>
            </w:pPr>
            <w:bookmarkStart w:id="10" w:name="cours_title"/>
            <w:bookmarkEnd w:id="10"/>
            <w:r>
              <w:rPr>
                <w:b/>
              </w:rPr>
              <w:t>PSYC 351; PSYC 356</w:t>
            </w:r>
          </w:p>
        </w:tc>
        <w:tc>
          <w:tcPr>
            <w:tcW w:w="4580" w:type="dxa"/>
            <w:noWrap/>
          </w:tcPr>
          <w:p w14:paraId="6540064C" w14:textId="44E36CCC" w:rsidR="00F64260" w:rsidRPr="009F029C" w:rsidRDefault="00FA7E45" w:rsidP="001429AA">
            <w:pPr>
              <w:spacing w:line="240" w:lineRule="auto"/>
              <w:rPr>
                <w:b/>
              </w:rPr>
            </w:pPr>
            <w:r>
              <w:rPr>
                <w:b/>
              </w:rPr>
              <w:t xml:space="preserve">                                        </w:t>
            </w:r>
          </w:p>
        </w:tc>
      </w:tr>
      <w:tr w:rsidR="00FA7E45" w:rsidRPr="006E3AF2" w14:paraId="203B0C45" w14:textId="77777777" w:rsidTr="00F12C82">
        <w:tc>
          <w:tcPr>
            <w:tcW w:w="3100" w:type="dxa"/>
            <w:noWrap/>
            <w:vAlign w:val="center"/>
          </w:tcPr>
          <w:p w14:paraId="4BAC956E" w14:textId="77777777" w:rsidR="00FA7E45" w:rsidRPr="006E3AF2" w:rsidRDefault="00FA7E45" w:rsidP="00FA7E45">
            <w:pPr>
              <w:spacing w:line="240" w:lineRule="auto"/>
            </w:pPr>
            <w:r>
              <w:t xml:space="preserve">B.2. </w:t>
            </w:r>
            <w:r w:rsidRPr="00A960DC">
              <w:rPr>
                <w:w w:val="95"/>
              </w:rPr>
              <w:t>Cross listing number if any</w:t>
            </w:r>
          </w:p>
        </w:tc>
        <w:tc>
          <w:tcPr>
            <w:tcW w:w="3100" w:type="dxa"/>
            <w:noWrap/>
          </w:tcPr>
          <w:p w14:paraId="36ED71B5" w14:textId="77777777" w:rsidR="00FA7E45" w:rsidRPr="009F029C" w:rsidRDefault="00FA7E45" w:rsidP="00FA7E45">
            <w:pPr>
              <w:spacing w:line="240" w:lineRule="auto"/>
              <w:rPr>
                <w:b/>
              </w:rPr>
            </w:pPr>
          </w:p>
        </w:tc>
        <w:tc>
          <w:tcPr>
            <w:tcW w:w="4580" w:type="dxa"/>
            <w:noWrap/>
          </w:tcPr>
          <w:p w14:paraId="4E2FF0F0" w14:textId="77777777" w:rsidR="00FA7E45" w:rsidRPr="009F029C" w:rsidRDefault="00FA7E45" w:rsidP="00FA7E45">
            <w:pPr>
              <w:spacing w:line="240" w:lineRule="auto"/>
              <w:rPr>
                <w:b/>
              </w:rPr>
            </w:pPr>
          </w:p>
        </w:tc>
      </w:tr>
      <w:tr w:rsidR="00FA7E45" w:rsidRPr="006E3AF2" w14:paraId="5C8827C3" w14:textId="77777777" w:rsidTr="00F12C82">
        <w:tc>
          <w:tcPr>
            <w:tcW w:w="3100" w:type="dxa"/>
            <w:noWrap/>
            <w:vAlign w:val="center"/>
          </w:tcPr>
          <w:p w14:paraId="145267D2" w14:textId="77777777" w:rsidR="00FA7E45" w:rsidRPr="006E3AF2" w:rsidRDefault="00FA7E45" w:rsidP="00FA7E45">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100" w:type="dxa"/>
            <w:noWrap/>
          </w:tcPr>
          <w:p w14:paraId="386591F8" w14:textId="77777777" w:rsidR="00FA7E45" w:rsidRPr="009F029C" w:rsidRDefault="00FA7E45" w:rsidP="00FA7E45">
            <w:pPr>
              <w:spacing w:line="240" w:lineRule="auto"/>
              <w:rPr>
                <w:b/>
              </w:rPr>
            </w:pPr>
            <w:bookmarkStart w:id="11" w:name="title"/>
            <w:bookmarkEnd w:id="11"/>
          </w:p>
        </w:tc>
        <w:tc>
          <w:tcPr>
            <w:tcW w:w="4580" w:type="dxa"/>
            <w:noWrap/>
          </w:tcPr>
          <w:p w14:paraId="2B9DB727" w14:textId="77777777" w:rsidR="00FA7E45" w:rsidRPr="009F029C" w:rsidRDefault="00FA7E45" w:rsidP="00FA7E45">
            <w:pPr>
              <w:spacing w:line="240" w:lineRule="auto"/>
              <w:rPr>
                <w:b/>
              </w:rPr>
            </w:pPr>
          </w:p>
        </w:tc>
      </w:tr>
      <w:tr w:rsidR="00FA7E45" w:rsidRPr="006E3AF2" w14:paraId="76E4D772" w14:textId="77777777" w:rsidTr="00F12C82">
        <w:tc>
          <w:tcPr>
            <w:tcW w:w="3100" w:type="dxa"/>
            <w:noWrap/>
            <w:vAlign w:val="center"/>
          </w:tcPr>
          <w:p w14:paraId="6E6A4073" w14:textId="77777777" w:rsidR="00FA7E45" w:rsidRPr="006E3AF2" w:rsidRDefault="00FA7E45" w:rsidP="00FA7E45">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100" w:type="dxa"/>
            <w:noWrap/>
          </w:tcPr>
          <w:p w14:paraId="5BA10B83" w14:textId="2DE4BF73" w:rsidR="00657D84" w:rsidRDefault="00657D84" w:rsidP="00FA7E45">
            <w:pPr>
              <w:tabs>
                <w:tab w:val="left" w:pos="690"/>
              </w:tabs>
              <w:spacing w:line="240" w:lineRule="auto"/>
              <w:rPr>
                <w:b/>
              </w:rPr>
            </w:pPr>
            <w:bookmarkStart w:id="12" w:name="description"/>
            <w:bookmarkEnd w:id="12"/>
            <w:r>
              <w:rPr>
                <w:b/>
              </w:rPr>
              <w:t xml:space="preserve">351: </w:t>
            </w:r>
            <w:r w:rsidRPr="009F46D6">
              <w:t xml:space="preserve">Psychology of Human Diversity  </w:t>
            </w:r>
          </w:p>
          <w:p w14:paraId="7D376918" w14:textId="1077B680" w:rsidR="00FA7E45" w:rsidRPr="009F029C" w:rsidRDefault="00657D84" w:rsidP="00FA7E45">
            <w:pPr>
              <w:tabs>
                <w:tab w:val="left" w:pos="690"/>
              </w:tabs>
              <w:spacing w:line="240" w:lineRule="auto"/>
              <w:rPr>
                <w:b/>
              </w:rPr>
            </w:pPr>
            <w:r>
              <w:rPr>
                <w:b/>
              </w:rPr>
              <w:t xml:space="preserve">356: </w:t>
            </w:r>
            <w:r w:rsidRPr="009F46D6">
              <w:t>Psychology of Gender</w:t>
            </w:r>
          </w:p>
        </w:tc>
        <w:tc>
          <w:tcPr>
            <w:tcW w:w="4580" w:type="dxa"/>
            <w:noWrap/>
          </w:tcPr>
          <w:p w14:paraId="51C7BE85" w14:textId="77777777" w:rsidR="00FA7E45" w:rsidRPr="009F029C" w:rsidRDefault="00FA7E45" w:rsidP="00FA7E45">
            <w:pPr>
              <w:spacing w:line="240" w:lineRule="auto"/>
              <w:rPr>
                <w:b/>
              </w:rPr>
            </w:pPr>
          </w:p>
        </w:tc>
      </w:tr>
      <w:tr w:rsidR="00FA7E45" w:rsidRPr="006E3AF2" w14:paraId="6B87DAE3" w14:textId="77777777" w:rsidTr="00F12C82">
        <w:tc>
          <w:tcPr>
            <w:tcW w:w="3100" w:type="dxa"/>
            <w:noWrap/>
            <w:vAlign w:val="center"/>
          </w:tcPr>
          <w:p w14:paraId="442A162B" w14:textId="2FB7287C" w:rsidR="00FA7E45" w:rsidRPr="006E3AF2" w:rsidRDefault="00FA7E45" w:rsidP="00FA7E45">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100" w:type="dxa"/>
            <w:noWrap/>
          </w:tcPr>
          <w:p w14:paraId="0F850691" w14:textId="621459E3" w:rsidR="00FA7E45" w:rsidRDefault="00657D84" w:rsidP="00FA7E45">
            <w:pPr>
              <w:spacing w:line="240" w:lineRule="auto"/>
              <w:rPr>
                <w:b/>
              </w:rPr>
            </w:pPr>
            <w:bookmarkStart w:id="13" w:name="prereqs"/>
            <w:bookmarkEnd w:id="13"/>
            <w:r>
              <w:rPr>
                <w:b/>
              </w:rPr>
              <w:t>351: PSYC 110 or PSYC 215 and PSYC 221.</w:t>
            </w:r>
          </w:p>
          <w:p w14:paraId="1DA13CE0" w14:textId="60BA31C6" w:rsidR="00657D84" w:rsidRPr="009F029C" w:rsidRDefault="00657D84" w:rsidP="00FA7E45">
            <w:pPr>
              <w:spacing w:line="240" w:lineRule="auto"/>
              <w:rPr>
                <w:b/>
              </w:rPr>
            </w:pPr>
            <w:r>
              <w:rPr>
                <w:b/>
              </w:rPr>
              <w:t>356: PSYC 221 and PYSC 251 or equivalent.</w:t>
            </w:r>
          </w:p>
        </w:tc>
        <w:tc>
          <w:tcPr>
            <w:tcW w:w="4580" w:type="dxa"/>
            <w:noWrap/>
          </w:tcPr>
          <w:p w14:paraId="4DA91B44" w14:textId="58393321" w:rsidR="00FA7E45" w:rsidRPr="009F029C" w:rsidRDefault="00657D84" w:rsidP="00FA7E45">
            <w:pPr>
              <w:spacing w:line="240" w:lineRule="auto"/>
              <w:rPr>
                <w:b/>
              </w:rPr>
            </w:pPr>
            <w:r>
              <w:rPr>
                <w:b/>
              </w:rPr>
              <w:t>Add to both: “or by consent of department chair.”</w:t>
            </w:r>
          </w:p>
        </w:tc>
      </w:tr>
      <w:tr w:rsidR="00FA7E45" w:rsidRPr="006E3AF2" w14:paraId="5AE5E526" w14:textId="77777777" w:rsidTr="00F12C82">
        <w:tc>
          <w:tcPr>
            <w:tcW w:w="3100" w:type="dxa"/>
            <w:noWrap/>
            <w:vAlign w:val="center"/>
          </w:tcPr>
          <w:p w14:paraId="55E538D7" w14:textId="519A723C" w:rsidR="00FA7E45" w:rsidRPr="006E3AF2" w:rsidRDefault="00FA7E45" w:rsidP="00FA7E45">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100" w:type="dxa"/>
            <w:noWrap/>
          </w:tcPr>
          <w:p w14:paraId="55C26C0B" w14:textId="00697717" w:rsidR="00FA7E45" w:rsidRPr="009F029C" w:rsidRDefault="00FA7E45" w:rsidP="00FA7E45">
            <w:pPr>
              <w:spacing w:line="240" w:lineRule="auto"/>
              <w:rPr>
                <w:b/>
                <w:sz w:val="20"/>
              </w:rPr>
            </w:pPr>
          </w:p>
          <w:p w14:paraId="08F2FAD3" w14:textId="137737F9" w:rsidR="00FA7E45" w:rsidRPr="009F029C" w:rsidRDefault="00FA7E45" w:rsidP="00FA7E45">
            <w:pPr>
              <w:spacing w:line="240" w:lineRule="auto"/>
              <w:rPr>
                <w:b/>
                <w:sz w:val="20"/>
              </w:rPr>
            </w:pPr>
          </w:p>
        </w:tc>
        <w:tc>
          <w:tcPr>
            <w:tcW w:w="4580" w:type="dxa"/>
            <w:noWrap/>
          </w:tcPr>
          <w:p w14:paraId="6C8D2300" w14:textId="31B124BB" w:rsidR="00F12C82" w:rsidRPr="009F029C" w:rsidRDefault="00F12C82" w:rsidP="00F12C82">
            <w:pPr>
              <w:spacing w:line="240" w:lineRule="auto"/>
              <w:rPr>
                <w:b/>
                <w:sz w:val="20"/>
              </w:rPr>
            </w:pPr>
          </w:p>
          <w:p w14:paraId="67D1137F" w14:textId="61397EC3" w:rsidR="00FA7E45" w:rsidRPr="009F029C" w:rsidRDefault="00FA7E45" w:rsidP="00FA7E45">
            <w:pPr>
              <w:spacing w:line="240" w:lineRule="auto"/>
              <w:rPr>
                <w:b/>
                <w:sz w:val="20"/>
              </w:rPr>
            </w:pPr>
          </w:p>
        </w:tc>
      </w:tr>
      <w:tr w:rsidR="00FA7E45" w:rsidRPr="006E3AF2" w14:paraId="12464B8B" w14:textId="77777777" w:rsidTr="00F12C82">
        <w:tc>
          <w:tcPr>
            <w:tcW w:w="3100" w:type="dxa"/>
            <w:noWrap/>
            <w:vAlign w:val="center"/>
          </w:tcPr>
          <w:p w14:paraId="4094BFDE" w14:textId="1C3E0692" w:rsidR="00FA7E45" w:rsidRPr="006E3AF2" w:rsidRDefault="00FA7E45" w:rsidP="00FA7E45">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100" w:type="dxa"/>
            <w:noWrap/>
          </w:tcPr>
          <w:p w14:paraId="2591720E" w14:textId="77777777" w:rsidR="00FA7E45" w:rsidRPr="009F029C" w:rsidRDefault="00FA7E45" w:rsidP="00FA7E45">
            <w:pPr>
              <w:spacing w:line="240" w:lineRule="auto"/>
              <w:rPr>
                <w:b/>
              </w:rPr>
            </w:pPr>
            <w:bookmarkStart w:id="14" w:name="contacthours"/>
            <w:bookmarkEnd w:id="14"/>
          </w:p>
        </w:tc>
        <w:tc>
          <w:tcPr>
            <w:tcW w:w="4580" w:type="dxa"/>
            <w:noWrap/>
          </w:tcPr>
          <w:p w14:paraId="57D144B9" w14:textId="09B433F2" w:rsidR="00FA7E45" w:rsidRPr="009F029C" w:rsidRDefault="00FA7E45" w:rsidP="00FA7E45">
            <w:pPr>
              <w:spacing w:line="240" w:lineRule="auto"/>
              <w:rPr>
                <w:b/>
              </w:rPr>
            </w:pPr>
          </w:p>
        </w:tc>
      </w:tr>
      <w:tr w:rsidR="00FA7E45" w:rsidRPr="006E3AF2" w14:paraId="677C9DA2" w14:textId="77777777" w:rsidTr="00F12C82">
        <w:tc>
          <w:tcPr>
            <w:tcW w:w="3100" w:type="dxa"/>
            <w:noWrap/>
            <w:vAlign w:val="center"/>
          </w:tcPr>
          <w:p w14:paraId="2DCCE146" w14:textId="0BAEDDC6" w:rsidR="00FA7E45" w:rsidRPr="006E3AF2" w:rsidRDefault="00FA7E45" w:rsidP="00FA7E45">
            <w:pPr>
              <w:spacing w:line="240" w:lineRule="auto"/>
            </w:pPr>
            <w:r>
              <w:lastRenderedPageBreak/>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100" w:type="dxa"/>
            <w:noWrap/>
          </w:tcPr>
          <w:p w14:paraId="27EB02BD" w14:textId="77777777" w:rsidR="00FA7E45" w:rsidRPr="009F029C" w:rsidRDefault="00FA7E45" w:rsidP="00FA7E45">
            <w:pPr>
              <w:spacing w:line="240" w:lineRule="auto"/>
              <w:rPr>
                <w:b/>
              </w:rPr>
            </w:pPr>
            <w:bookmarkStart w:id="15" w:name="credits"/>
            <w:bookmarkEnd w:id="15"/>
          </w:p>
        </w:tc>
        <w:tc>
          <w:tcPr>
            <w:tcW w:w="4580" w:type="dxa"/>
            <w:noWrap/>
          </w:tcPr>
          <w:p w14:paraId="7DD4CAFF" w14:textId="77777777" w:rsidR="00FA7E45" w:rsidRPr="009F029C" w:rsidRDefault="00FA7E45" w:rsidP="00FA7E45">
            <w:pPr>
              <w:spacing w:line="240" w:lineRule="auto"/>
              <w:rPr>
                <w:b/>
              </w:rPr>
            </w:pPr>
          </w:p>
        </w:tc>
      </w:tr>
      <w:tr w:rsidR="00FA7E45" w:rsidRPr="006E3AF2" w14:paraId="658C4762" w14:textId="77777777" w:rsidTr="006F64BB">
        <w:tc>
          <w:tcPr>
            <w:tcW w:w="3100" w:type="dxa"/>
            <w:noWrap/>
            <w:vAlign w:val="center"/>
          </w:tcPr>
          <w:p w14:paraId="4546E96E" w14:textId="3C01EC5C" w:rsidR="00FA7E45" w:rsidRPr="006E3AF2" w:rsidRDefault="00FA7E45" w:rsidP="00FA7E45">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680" w:type="dxa"/>
            <w:gridSpan w:val="2"/>
            <w:noWrap/>
          </w:tcPr>
          <w:p w14:paraId="4C75FD89" w14:textId="77777777" w:rsidR="00FA7E45" w:rsidRPr="009F029C" w:rsidRDefault="00FA7E45" w:rsidP="00FA7E45">
            <w:pPr>
              <w:spacing w:line="240" w:lineRule="auto"/>
              <w:rPr>
                <w:rStyle w:val="TEXT"/>
              </w:rPr>
            </w:pPr>
            <w:bookmarkStart w:id="16" w:name="differences"/>
            <w:bookmarkEnd w:id="16"/>
          </w:p>
        </w:tc>
      </w:tr>
      <w:tr w:rsidR="00FA7E45" w:rsidRPr="006E3AF2" w14:paraId="1E5DCF31" w14:textId="77777777" w:rsidTr="006F64BB">
        <w:tc>
          <w:tcPr>
            <w:tcW w:w="3100" w:type="dxa"/>
            <w:noWrap/>
            <w:vAlign w:val="center"/>
          </w:tcPr>
          <w:p w14:paraId="519B79E7" w14:textId="3A9E2D05" w:rsidR="00FA7E45" w:rsidRPr="006E3AF2" w:rsidRDefault="00FA7E45" w:rsidP="00FA7E45">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100" w:type="dxa"/>
            <w:noWrap/>
          </w:tcPr>
          <w:p w14:paraId="54A0840F" w14:textId="77FDB9FE" w:rsidR="00FA7E45" w:rsidRPr="009F029C" w:rsidRDefault="00FA7E45" w:rsidP="00FA7E45">
            <w:pPr>
              <w:spacing w:line="240" w:lineRule="auto"/>
              <w:rPr>
                <w:b/>
                <w:sz w:val="20"/>
              </w:rPr>
            </w:pPr>
          </w:p>
        </w:tc>
        <w:tc>
          <w:tcPr>
            <w:tcW w:w="4580" w:type="dxa"/>
            <w:noWrap/>
          </w:tcPr>
          <w:p w14:paraId="2CF717EE" w14:textId="5BD5445A" w:rsidR="00FA7E45" w:rsidRPr="009F029C" w:rsidRDefault="00FA7E45" w:rsidP="00FA7E45">
            <w:pPr>
              <w:spacing w:line="240" w:lineRule="auto"/>
              <w:rPr>
                <w:b/>
                <w:sz w:val="20"/>
              </w:rPr>
            </w:pPr>
          </w:p>
        </w:tc>
      </w:tr>
      <w:tr w:rsidR="00FA7E45" w:rsidRPr="006E3AF2" w14:paraId="66DAB74D" w14:textId="77777777" w:rsidTr="006F64BB">
        <w:tc>
          <w:tcPr>
            <w:tcW w:w="3100" w:type="dxa"/>
            <w:noWrap/>
            <w:vAlign w:val="center"/>
          </w:tcPr>
          <w:p w14:paraId="0FE25A74" w14:textId="688A67BD" w:rsidR="00FA7E45" w:rsidRPr="006E3AF2" w:rsidRDefault="00FA7E45" w:rsidP="00FA7E45">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100" w:type="dxa"/>
            <w:noWrap/>
          </w:tcPr>
          <w:p w14:paraId="79B4CAD6" w14:textId="73DAE5FC" w:rsidR="00FA7E45" w:rsidRPr="009F029C" w:rsidRDefault="00FA7E45" w:rsidP="00FA7E45">
            <w:pPr>
              <w:spacing w:line="240" w:lineRule="auto"/>
              <w:rPr>
                <w:b/>
                <w:sz w:val="20"/>
              </w:rPr>
            </w:pPr>
            <w:bookmarkStart w:id="17" w:name="instr_methods"/>
            <w:bookmarkEnd w:id="17"/>
          </w:p>
        </w:tc>
        <w:tc>
          <w:tcPr>
            <w:tcW w:w="4580" w:type="dxa"/>
            <w:noWrap/>
          </w:tcPr>
          <w:p w14:paraId="27D66483" w14:textId="2678F74E" w:rsidR="00FA7E45" w:rsidRPr="009F029C" w:rsidRDefault="00FA7E45" w:rsidP="00FA7E45">
            <w:pPr>
              <w:spacing w:line="240" w:lineRule="auto"/>
              <w:rPr>
                <w:b/>
                <w:sz w:val="20"/>
              </w:rPr>
            </w:pPr>
          </w:p>
        </w:tc>
      </w:tr>
      <w:tr w:rsidR="00FA7E45" w:rsidRPr="006E3AF2" w14:paraId="40E0E48F" w14:textId="77777777" w:rsidTr="006F64BB">
        <w:tc>
          <w:tcPr>
            <w:tcW w:w="3100" w:type="dxa"/>
            <w:noWrap/>
            <w:vAlign w:val="center"/>
          </w:tcPr>
          <w:p w14:paraId="6FB6EA46" w14:textId="626BB09F" w:rsidR="00FA7E45" w:rsidRPr="006E3AF2" w:rsidRDefault="00FA7E45" w:rsidP="00FA7E45">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100" w:type="dxa"/>
            <w:noWrap/>
          </w:tcPr>
          <w:p w14:paraId="57466F72" w14:textId="2FB5DC66" w:rsidR="00FA7E45" w:rsidRPr="009F029C" w:rsidRDefault="00FA7E45" w:rsidP="00FA7E45">
            <w:pPr>
              <w:spacing w:line="240" w:lineRule="auto"/>
              <w:rPr>
                <w:b/>
                <w:sz w:val="20"/>
              </w:rPr>
            </w:pPr>
            <w:bookmarkStart w:id="18" w:name="required"/>
            <w:bookmarkEnd w:id="18"/>
          </w:p>
        </w:tc>
        <w:tc>
          <w:tcPr>
            <w:tcW w:w="4580" w:type="dxa"/>
            <w:noWrap/>
          </w:tcPr>
          <w:p w14:paraId="442E5788" w14:textId="6ED5059A" w:rsidR="00FA7E45" w:rsidRPr="009F029C" w:rsidRDefault="00FA7E45" w:rsidP="00FA7E45">
            <w:pPr>
              <w:spacing w:line="240" w:lineRule="auto"/>
              <w:rPr>
                <w:b/>
                <w:sz w:val="20"/>
              </w:rPr>
            </w:pPr>
          </w:p>
        </w:tc>
      </w:tr>
      <w:tr w:rsidR="00FA7E45" w:rsidRPr="006E3AF2" w14:paraId="4F77409C" w14:textId="77777777" w:rsidTr="006F64BB">
        <w:tc>
          <w:tcPr>
            <w:tcW w:w="3100" w:type="dxa"/>
            <w:noWrap/>
            <w:vAlign w:val="center"/>
          </w:tcPr>
          <w:p w14:paraId="0EAD07DC" w14:textId="7416D5C4" w:rsidR="00FA7E45" w:rsidRPr="006E3AF2" w:rsidRDefault="00FA7E45" w:rsidP="00FA7E45">
            <w:pPr>
              <w:spacing w:line="240" w:lineRule="auto"/>
            </w:pPr>
            <w:r>
              <w:t xml:space="preserve">B.13. </w:t>
            </w:r>
            <w:r w:rsidRPr="006E3AF2">
              <w:t>Is this an Honors course?</w:t>
            </w:r>
          </w:p>
        </w:tc>
        <w:tc>
          <w:tcPr>
            <w:tcW w:w="3100" w:type="dxa"/>
            <w:noWrap/>
          </w:tcPr>
          <w:p w14:paraId="1F134875" w14:textId="7D44C8E5" w:rsidR="00FA7E45" w:rsidRPr="009F029C" w:rsidRDefault="00FA7E45" w:rsidP="00FA7E45">
            <w:pPr>
              <w:spacing w:line="240" w:lineRule="auto"/>
              <w:rPr>
                <w:b/>
              </w:rPr>
            </w:pPr>
          </w:p>
        </w:tc>
        <w:tc>
          <w:tcPr>
            <w:tcW w:w="4580" w:type="dxa"/>
            <w:noWrap/>
          </w:tcPr>
          <w:p w14:paraId="41CF798F" w14:textId="52DC0562" w:rsidR="00FA7E45" w:rsidRPr="009F029C" w:rsidRDefault="00FA7E45" w:rsidP="00FA7E45">
            <w:pPr>
              <w:spacing w:line="240" w:lineRule="auto"/>
              <w:rPr>
                <w:b/>
              </w:rPr>
            </w:pPr>
            <w:r>
              <w:rPr>
                <w:rFonts w:ascii="MS Mincho" w:eastAsia="MS Mincho" w:hAnsi="MS Mincho" w:cs="MS Mincho"/>
                <w:b/>
                <w:sz w:val="20"/>
              </w:rPr>
              <w:t xml:space="preserve"> </w:t>
            </w:r>
          </w:p>
        </w:tc>
      </w:tr>
      <w:tr w:rsidR="00FA7E45" w:rsidRPr="006E3AF2" w14:paraId="3A6D1D6E" w14:textId="77777777" w:rsidTr="006F64BB">
        <w:tc>
          <w:tcPr>
            <w:tcW w:w="3100" w:type="dxa"/>
            <w:noWrap/>
            <w:vAlign w:val="center"/>
          </w:tcPr>
          <w:p w14:paraId="0625709D" w14:textId="77777777" w:rsidR="00FA7E45" w:rsidRDefault="00FA7E45" w:rsidP="00FA7E45">
            <w:pPr>
              <w:spacing w:line="240" w:lineRule="auto"/>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FA7E45" w:rsidRPr="00D96C1E" w:rsidRDefault="00FA7E45" w:rsidP="00FA7E45">
            <w:pPr>
              <w:spacing w:line="240" w:lineRule="auto"/>
              <w:rPr>
                <w:w w:val="90"/>
                <w:sz w:val="18"/>
                <w:szCs w:val="18"/>
              </w:rPr>
            </w:pPr>
            <w:r w:rsidRPr="00D96C1E">
              <w:rPr>
                <w:w w:val="90"/>
                <w:sz w:val="18"/>
                <w:szCs w:val="18"/>
              </w:rPr>
              <w:t>N.B. Connections must include at least 50% Standard Classroom instruction.</w:t>
            </w:r>
          </w:p>
        </w:tc>
        <w:tc>
          <w:tcPr>
            <w:tcW w:w="3100" w:type="dxa"/>
            <w:noWrap/>
          </w:tcPr>
          <w:p w14:paraId="071181E7" w14:textId="5DC754BF" w:rsidR="00FA7E45" w:rsidRPr="009F029C" w:rsidRDefault="00FA7E45" w:rsidP="00FA7E45">
            <w:pPr>
              <w:rPr>
                <w:b/>
                <w:sz w:val="20"/>
              </w:rPr>
            </w:pPr>
            <w:bookmarkStart w:id="19" w:name="ge"/>
            <w:bookmarkEnd w:id="19"/>
          </w:p>
        </w:tc>
        <w:tc>
          <w:tcPr>
            <w:tcW w:w="4580" w:type="dxa"/>
            <w:noWrap/>
          </w:tcPr>
          <w:p w14:paraId="411B25D5" w14:textId="430AFC8D" w:rsidR="00FA7E45" w:rsidRPr="00BE33BA" w:rsidRDefault="00FA7E45" w:rsidP="00FA7E45">
            <w:pPr>
              <w:spacing w:line="240" w:lineRule="auto"/>
              <w:rPr>
                <w:rFonts w:asciiTheme="majorHAnsi" w:eastAsia="MS Mincho" w:hAnsiTheme="majorHAnsi" w:cstheme="majorHAnsi"/>
                <w:sz w:val="20"/>
              </w:rPr>
            </w:pPr>
            <w:r w:rsidRPr="00BE33BA">
              <w:rPr>
                <w:rFonts w:asciiTheme="majorHAnsi" w:eastAsia="MS Mincho" w:hAnsiTheme="majorHAnsi" w:cstheme="majorHAnsi"/>
                <w:sz w:val="20"/>
              </w:rPr>
              <w:t xml:space="preserve">. </w:t>
            </w:r>
          </w:p>
          <w:p w14:paraId="45B135E3" w14:textId="72B8BB49" w:rsidR="00FA7E45" w:rsidRPr="009F029C" w:rsidRDefault="00FA7E45" w:rsidP="00FA7E45">
            <w:pPr>
              <w:spacing w:line="240" w:lineRule="auto"/>
              <w:rPr>
                <w:b/>
                <w:sz w:val="20"/>
              </w:rPr>
            </w:pPr>
          </w:p>
        </w:tc>
      </w:tr>
      <w:tr w:rsidR="00FA7E45" w:rsidRPr="006E3AF2" w14:paraId="7309520B" w14:textId="77777777" w:rsidTr="006F64BB">
        <w:tc>
          <w:tcPr>
            <w:tcW w:w="3100" w:type="dxa"/>
            <w:noWrap/>
            <w:vAlign w:val="center"/>
          </w:tcPr>
          <w:p w14:paraId="070EE83F" w14:textId="361D2585" w:rsidR="00FA7E45" w:rsidRPr="006E3AF2" w:rsidRDefault="00FA7E45" w:rsidP="00FA7E45">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100" w:type="dxa"/>
            <w:noWrap/>
          </w:tcPr>
          <w:p w14:paraId="1A66AF8F" w14:textId="17878CE9" w:rsidR="00FA7E45" w:rsidRPr="009F029C" w:rsidRDefault="00FA7E45" w:rsidP="00FA7E45">
            <w:pPr>
              <w:spacing w:line="240" w:lineRule="auto"/>
              <w:rPr>
                <w:b/>
                <w:sz w:val="20"/>
              </w:rPr>
            </w:pPr>
            <w:bookmarkStart w:id="20" w:name="performance"/>
            <w:bookmarkEnd w:id="20"/>
            <w:r w:rsidRPr="009F029C">
              <w:rPr>
                <w:b/>
                <w:sz w:val="20"/>
              </w:rPr>
              <w:t xml:space="preserve"> </w:t>
            </w:r>
          </w:p>
        </w:tc>
        <w:tc>
          <w:tcPr>
            <w:tcW w:w="4580" w:type="dxa"/>
            <w:noWrap/>
          </w:tcPr>
          <w:p w14:paraId="33AC4615" w14:textId="46357866" w:rsidR="00FA7E45" w:rsidRPr="009F029C" w:rsidRDefault="00FA7E45" w:rsidP="00FA7E45">
            <w:pPr>
              <w:spacing w:line="240" w:lineRule="auto"/>
              <w:rPr>
                <w:b/>
                <w:sz w:val="20"/>
              </w:rPr>
            </w:pPr>
          </w:p>
        </w:tc>
      </w:tr>
      <w:tr w:rsidR="00FA7E45" w:rsidRPr="006E3AF2" w14:paraId="679110FC" w14:textId="77777777" w:rsidTr="006F64BB">
        <w:tc>
          <w:tcPr>
            <w:tcW w:w="3100" w:type="dxa"/>
            <w:noWrap/>
            <w:vAlign w:val="center"/>
          </w:tcPr>
          <w:p w14:paraId="76B36BCE" w14:textId="2B904C37" w:rsidR="00FA7E45" w:rsidRDefault="00FA7E45" w:rsidP="00FA7E45">
            <w:pPr>
              <w:spacing w:line="240" w:lineRule="auto"/>
            </w:pPr>
            <w:r>
              <w:t xml:space="preserve">B.16 </w:t>
            </w:r>
            <w:bookmarkStart w:id="21"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1"/>
            <w:r>
              <w:fldChar w:fldCharType="end"/>
            </w:r>
          </w:p>
        </w:tc>
        <w:tc>
          <w:tcPr>
            <w:tcW w:w="3100" w:type="dxa"/>
            <w:noWrap/>
          </w:tcPr>
          <w:p w14:paraId="5C3BB186" w14:textId="77777777" w:rsidR="00FA7E45" w:rsidRPr="009F029C" w:rsidRDefault="00FA7E45" w:rsidP="00FA7E45">
            <w:pPr>
              <w:spacing w:line="240" w:lineRule="auto"/>
              <w:rPr>
                <w:b/>
              </w:rPr>
            </w:pPr>
          </w:p>
        </w:tc>
        <w:tc>
          <w:tcPr>
            <w:tcW w:w="4580" w:type="dxa"/>
            <w:noWrap/>
          </w:tcPr>
          <w:p w14:paraId="79164CE6" w14:textId="77777777" w:rsidR="00FA7E45" w:rsidRPr="009F029C" w:rsidRDefault="00FA7E45" w:rsidP="00FA7E45">
            <w:pPr>
              <w:spacing w:line="240" w:lineRule="auto"/>
              <w:rPr>
                <w:b/>
              </w:rPr>
            </w:pPr>
          </w:p>
        </w:tc>
      </w:tr>
      <w:tr w:rsidR="00FA7E45" w:rsidRPr="006E3AF2" w14:paraId="071E0CC5" w14:textId="77777777" w:rsidTr="006F64BB">
        <w:tc>
          <w:tcPr>
            <w:tcW w:w="3100" w:type="dxa"/>
            <w:noWrap/>
            <w:vAlign w:val="center"/>
          </w:tcPr>
          <w:p w14:paraId="479D5599" w14:textId="793C0065" w:rsidR="00FA7E45" w:rsidRPr="006E3AF2" w:rsidRDefault="00FA7E45" w:rsidP="00FA7E45">
            <w:pPr>
              <w:spacing w:line="240" w:lineRule="auto"/>
            </w:pPr>
            <w:r>
              <w:t xml:space="preserve">B.17.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100" w:type="dxa"/>
            <w:noWrap/>
          </w:tcPr>
          <w:p w14:paraId="79E9B41B" w14:textId="77777777" w:rsidR="00FA7E45" w:rsidRPr="009F029C" w:rsidRDefault="00FA7E45" w:rsidP="00FA7E45">
            <w:pPr>
              <w:spacing w:line="240" w:lineRule="auto"/>
              <w:rPr>
                <w:b/>
              </w:rPr>
            </w:pPr>
            <w:bookmarkStart w:id="22" w:name="competing"/>
            <w:bookmarkEnd w:id="22"/>
          </w:p>
        </w:tc>
        <w:tc>
          <w:tcPr>
            <w:tcW w:w="4580" w:type="dxa"/>
            <w:noWrap/>
          </w:tcPr>
          <w:p w14:paraId="15AF74BC" w14:textId="77777777" w:rsidR="00FA7E45" w:rsidRPr="009F029C" w:rsidRDefault="00FA7E45" w:rsidP="00FA7E45">
            <w:pPr>
              <w:spacing w:line="240" w:lineRule="auto"/>
              <w:rPr>
                <w:b/>
              </w:rPr>
            </w:pPr>
          </w:p>
        </w:tc>
      </w:tr>
      <w:tr w:rsidR="00FA7E45" w:rsidRPr="006E3AF2" w14:paraId="5CAD96CC" w14:textId="77777777" w:rsidTr="006F64BB">
        <w:tc>
          <w:tcPr>
            <w:tcW w:w="3100" w:type="dxa"/>
            <w:noWrap/>
            <w:vAlign w:val="center"/>
          </w:tcPr>
          <w:p w14:paraId="26DC8516" w14:textId="1C5BEAB4" w:rsidR="00FA7E45" w:rsidRPr="006E3AF2" w:rsidRDefault="00FA7E45" w:rsidP="00FA7E45">
            <w:pPr>
              <w:spacing w:line="240" w:lineRule="auto"/>
            </w:pPr>
            <w:r>
              <w:t xml:space="preserve">B. 18. </w:t>
            </w:r>
            <w:r w:rsidRPr="00EC63A4">
              <w:t>Other changes, if any</w:t>
            </w:r>
          </w:p>
        </w:tc>
        <w:tc>
          <w:tcPr>
            <w:tcW w:w="7680" w:type="dxa"/>
            <w:gridSpan w:val="2"/>
            <w:noWrap/>
          </w:tcPr>
          <w:p w14:paraId="74EA5436" w14:textId="77777777" w:rsidR="00FA7E45" w:rsidRPr="009F029C" w:rsidRDefault="00FA7E45" w:rsidP="00FA7E45">
            <w:pPr>
              <w:spacing w:line="240" w:lineRule="auto"/>
              <w:rPr>
                <w:rStyle w:val="TEXT"/>
              </w:rPr>
            </w:pPr>
          </w:p>
        </w:tc>
      </w:tr>
    </w:tbl>
    <w:p w14:paraId="0A7F01A1" w14:textId="77777777" w:rsidR="00F64260" w:rsidRDefault="00F64260">
      <w:pPr>
        <w:spacing w:line="240" w:lineRule="auto"/>
      </w:pPr>
    </w:p>
    <w:p w14:paraId="6ACD7343" w14:textId="02ABEE9C"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23" w:name="program_proposals"/>
        <w:bookmarkEnd w:id="23"/>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2578DB">
        <w:rPr>
          <w:b/>
          <w:sz w:val="20"/>
          <w:szCs w:val="20"/>
        </w:rPr>
        <w:t>.</w:t>
      </w:r>
      <w:r w:rsidR="00C344AB">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1390"/>
        <w:gridCol w:w="6290"/>
      </w:tblGrid>
      <w:tr w:rsidR="00F64260" w:rsidRPr="006E3AF2" w14:paraId="1AE46BD8" w14:textId="77777777" w:rsidTr="00657D84">
        <w:trPr>
          <w:tblHeader/>
        </w:trPr>
        <w:tc>
          <w:tcPr>
            <w:tcW w:w="3100"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1390" w:type="dxa"/>
            <w:noWrap/>
          </w:tcPr>
          <w:p w14:paraId="31E82DA0" w14:textId="77777777" w:rsidR="00F64260" w:rsidRPr="00A83A6C" w:rsidRDefault="00481346"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24" w:name="old_program"/>
              <w:bookmarkEnd w:id="24"/>
            </w:hyperlink>
          </w:p>
        </w:tc>
        <w:tc>
          <w:tcPr>
            <w:tcW w:w="629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657D84">
        <w:tc>
          <w:tcPr>
            <w:tcW w:w="3100"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1390" w:type="dxa"/>
            <w:noWrap/>
          </w:tcPr>
          <w:p w14:paraId="057D225D" w14:textId="77777777" w:rsidR="00F64260" w:rsidRPr="009F029C" w:rsidRDefault="00F64260" w:rsidP="00120C12">
            <w:pPr>
              <w:spacing w:line="240" w:lineRule="auto"/>
              <w:rPr>
                <w:b/>
              </w:rPr>
            </w:pPr>
            <w:bookmarkStart w:id="25" w:name="enrollments"/>
            <w:bookmarkEnd w:id="25"/>
          </w:p>
        </w:tc>
        <w:tc>
          <w:tcPr>
            <w:tcW w:w="6290" w:type="dxa"/>
            <w:noWrap/>
          </w:tcPr>
          <w:p w14:paraId="2C9C0D13" w14:textId="5B2AFC47" w:rsidR="00F64260" w:rsidRPr="009F029C" w:rsidRDefault="00A1661D" w:rsidP="00120C12">
            <w:pPr>
              <w:spacing w:line="240" w:lineRule="auto"/>
              <w:rPr>
                <w:b/>
              </w:rPr>
            </w:pPr>
            <w:r>
              <w:rPr>
                <w:b/>
              </w:rPr>
              <w:t>1</w:t>
            </w:r>
            <w:r w:rsidR="009F46D6">
              <w:rPr>
                <w:b/>
              </w:rPr>
              <w:t>2</w:t>
            </w:r>
            <w:r>
              <w:rPr>
                <w:b/>
              </w:rPr>
              <w:t xml:space="preserve"> initially, 10-20 over the first year.</w:t>
            </w:r>
          </w:p>
        </w:tc>
      </w:tr>
      <w:tr w:rsidR="00F64260" w:rsidRPr="006E3AF2" w14:paraId="0A95C54B" w14:textId="77777777" w:rsidTr="00657D84">
        <w:tc>
          <w:tcPr>
            <w:tcW w:w="3100"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1390" w:type="dxa"/>
            <w:noWrap/>
          </w:tcPr>
          <w:p w14:paraId="2D34A0B2" w14:textId="77777777" w:rsidR="00F64260" w:rsidRPr="009F029C" w:rsidRDefault="00F64260" w:rsidP="00120C12">
            <w:pPr>
              <w:spacing w:line="240" w:lineRule="auto"/>
              <w:rPr>
                <w:b/>
              </w:rPr>
            </w:pPr>
            <w:bookmarkStart w:id="26" w:name="admissions"/>
            <w:bookmarkEnd w:id="26"/>
          </w:p>
        </w:tc>
        <w:tc>
          <w:tcPr>
            <w:tcW w:w="6290" w:type="dxa"/>
            <w:noWrap/>
          </w:tcPr>
          <w:p w14:paraId="57058A41" w14:textId="25FCD9B3" w:rsidR="00F64260" w:rsidRPr="009F029C" w:rsidRDefault="00657D84" w:rsidP="00120C12">
            <w:pPr>
              <w:spacing w:line="240" w:lineRule="auto"/>
              <w:rPr>
                <w:b/>
              </w:rPr>
            </w:pPr>
            <w:r>
              <w:rPr>
                <w:b/>
              </w:rPr>
              <w:t>college</w:t>
            </w:r>
          </w:p>
        </w:tc>
      </w:tr>
      <w:tr w:rsidR="00F64260" w:rsidRPr="006E3AF2" w14:paraId="61F34EB3" w14:textId="77777777" w:rsidTr="00657D84">
        <w:tc>
          <w:tcPr>
            <w:tcW w:w="3100"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1390" w:type="dxa"/>
            <w:noWrap/>
          </w:tcPr>
          <w:p w14:paraId="604F27AD" w14:textId="77777777" w:rsidR="00F64260" w:rsidRPr="009F029C" w:rsidRDefault="00F64260" w:rsidP="00120C12">
            <w:pPr>
              <w:spacing w:line="240" w:lineRule="auto"/>
              <w:rPr>
                <w:b/>
              </w:rPr>
            </w:pPr>
            <w:bookmarkStart w:id="27" w:name="retention"/>
            <w:bookmarkEnd w:id="27"/>
          </w:p>
        </w:tc>
        <w:tc>
          <w:tcPr>
            <w:tcW w:w="6290" w:type="dxa"/>
            <w:noWrap/>
          </w:tcPr>
          <w:p w14:paraId="57B1FAE7" w14:textId="30B20421" w:rsidR="00F64260" w:rsidRPr="009F029C" w:rsidRDefault="00657D84" w:rsidP="00120C12">
            <w:pPr>
              <w:spacing w:line="240" w:lineRule="auto"/>
              <w:rPr>
                <w:b/>
              </w:rPr>
            </w:pPr>
            <w:r>
              <w:rPr>
                <w:b/>
              </w:rPr>
              <w:t>college</w:t>
            </w:r>
          </w:p>
        </w:tc>
      </w:tr>
      <w:tr w:rsidR="009F46D6" w:rsidRPr="006E3AF2" w14:paraId="43B2AD3F" w14:textId="77777777" w:rsidTr="00657D84">
        <w:tc>
          <w:tcPr>
            <w:tcW w:w="3100" w:type="dxa"/>
            <w:noWrap/>
            <w:vAlign w:val="center"/>
          </w:tcPr>
          <w:p w14:paraId="4E1F209D" w14:textId="7A7862C4" w:rsidR="009F46D6" w:rsidRDefault="009F46D6" w:rsidP="009F46D6">
            <w:pPr>
              <w:spacing w:line="240" w:lineRule="auto"/>
            </w:pPr>
            <w:r>
              <w:t xml:space="preserve">C.4.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 Show the course requirements for the whole program here.</w:t>
            </w:r>
          </w:p>
        </w:tc>
        <w:tc>
          <w:tcPr>
            <w:tcW w:w="1390" w:type="dxa"/>
            <w:noWrap/>
          </w:tcPr>
          <w:p w14:paraId="1B32FCFB" w14:textId="77777777" w:rsidR="009F46D6" w:rsidRPr="009F029C" w:rsidRDefault="009F46D6" w:rsidP="009F46D6">
            <w:pPr>
              <w:spacing w:line="240" w:lineRule="auto"/>
              <w:rPr>
                <w:b/>
              </w:rPr>
            </w:pPr>
            <w:bookmarkStart w:id="28" w:name="course_reqs"/>
            <w:bookmarkEnd w:id="28"/>
          </w:p>
        </w:tc>
        <w:tc>
          <w:tcPr>
            <w:tcW w:w="6290" w:type="dxa"/>
            <w:noWrap/>
          </w:tcPr>
          <w:p w14:paraId="6580601D" w14:textId="09B53462" w:rsidR="00BE33BA" w:rsidRPr="00F12C82" w:rsidRDefault="00BE33BA" w:rsidP="009F46D6">
            <w:pPr>
              <w:rPr>
                <w:b/>
              </w:rPr>
            </w:pPr>
            <w:r w:rsidRPr="00F12C82">
              <w:rPr>
                <w:b/>
              </w:rPr>
              <w:t>Required</w:t>
            </w:r>
          </w:p>
          <w:p w14:paraId="643788BA" w14:textId="40C7CEBB" w:rsidR="00BE33BA" w:rsidRPr="00BE33BA" w:rsidRDefault="00BE33BA" w:rsidP="009F46D6">
            <w:r w:rsidRPr="00BE33BA">
              <w:t>GEND 200 Gender and Society</w:t>
            </w:r>
            <w:r>
              <w:t xml:space="preserve"> (f, </w:t>
            </w:r>
            <w:proofErr w:type="spellStart"/>
            <w:r>
              <w:t>sp</w:t>
            </w:r>
            <w:proofErr w:type="spellEnd"/>
            <w:r>
              <w:t>)</w:t>
            </w:r>
            <w:r w:rsidR="00F12C82">
              <w:t xml:space="preserve"> 4</w:t>
            </w:r>
          </w:p>
          <w:p w14:paraId="7748A0E7" w14:textId="24755FD5" w:rsidR="00BE33BA" w:rsidRDefault="00BE33BA" w:rsidP="009F46D6">
            <w:r w:rsidRPr="00BE33BA">
              <w:t>GEND 205 Introduction to Queer Studies</w:t>
            </w:r>
            <w:r w:rsidR="009F46D6" w:rsidRPr="00BE33BA">
              <w:t xml:space="preserve"> </w:t>
            </w:r>
            <w:r>
              <w:t>(</w:t>
            </w:r>
            <w:proofErr w:type="gramStart"/>
            <w:r>
              <w:t>f)</w:t>
            </w:r>
            <w:r w:rsidR="009F46D6" w:rsidRPr="00BE33BA">
              <w:t xml:space="preserve">   </w:t>
            </w:r>
            <w:proofErr w:type="gramEnd"/>
            <w:r w:rsidR="00F12C82">
              <w:t xml:space="preserve">(NEW </w:t>
            </w:r>
            <w:r w:rsidR="00657D84">
              <w:t xml:space="preserve">course </w:t>
            </w:r>
            <w:r w:rsidR="00F12C82">
              <w:t>see other proposal)</w:t>
            </w:r>
            <w:r w:rsidR="009F46D6" w:rsidRPr="00BE33BA">
              <w:t xml:space="preserve">                            </w:t>
            </w:r>
            <w:r w:rsidR="00F12C82">
              <w:t xml:space="preserve"> 4</w:t>
            </w:r>
            <w:r w:rsidR="009F46D6" w:rsidRPr="00BE33BA">
              <w:t xml:space="preserve"> </w:t>
            </w:r>
          </w:p>
          <w:p w14:paraId="4CB92958" w14:textId="54A9204A" w:rsidR="009F46D6" w:rsidRPr="00657D84" w:rsidRDefault="009F46D6" w:rsidP="009F46D6">
            <w:pPr>
              <w:rPr>
                <w:b/>
              </w:rPr>
            </w:pPr>
            <w:r w:rsidRPr="00657D84">
              <w:rPr>
                <w:b/>
              </w:rPr>
              <w:t xml:space="preserve">Choose </w:t>
            </w:r>
            <w:r w:rsidR="00BE33BA" w:rsidRPr="00657D84">
              <w:rPr>
                <w:b/>
              </w:rPr>
              <w:t>3</w:t>
            </w:r>
          </w:p>
          <w:p w14:paraId="0C2BD486" w14:textId="1182E1B9" w:rsidR="001F4568" w:rsidRDefault="001F4568" w:rsidP="00BE33BA">
            <w:r>
              <w:t>GEND 201 Introduction to Feminist Inquiry (f)</w:t>
            </w:r>
            <w:r w:rsidR="00F12C82">
              <w:t xml:space="preserve"> 4</w:t>
            </w:r>
          </w:p>
          <w:p w14:paraId="35E60CE1" w14:textId="6B0AE2A3" w:rsidR="00355BD2" w:rsidRDefault="009F46D6" w:rsidP="00BE33BA">
            <w:r w:rsidRPr="009F46D6">
              <w:t>GEND 357 Gender &amp; Sexuality (f)</w:t>
            </w:r>
            <w:r w:rsidR="00BE33BA" w:rsidRPr="009F46D6">
              <w:t xml:space="preserve"> </w:t>
            </w:r>
            <w:r w:rsidR="00020320">
              <w:t>(4)</w:t>
            </w:r>
          </w:p>
          <w:p w14:paraId="4A604A6A" w14:textId="23FF398E" w:rsidR="00BE33BA" w:rsidRPr="009F46D6" w:rsidRDefault="00BE33BA" w:rsidP="00BE33BA">
            <w:pPr>
              <w:rPr>
                <w:b/>
              </w:rPr>
            </w:pPr>
            <w:r w:rsidRPr="009F46D6">
              <w:t>GEND 461 Race, Class &amp; Gender (</w:t>
            </w:r>
            <w:proofErr w:type="spellStart"/>
            <w:r w:rsidRPr="009F46D6">
              <w:t>sp</w:t>
            </w:r>
            <w:proofErr w:type="spellEnd"/>
            <w:r w:rsidRPr="009F46D6">
              <w:t>)</w:t>
            </w:r>
            <w:r w:rsidR="00020320">
              <w:t xml:space="preserve"> (4)</w:t>
            </w:r>
          </w:p>
          <w:p w14:paraId="2DB950F1" w14:textId="1E8E7DF3" w:rsidR="009F46D6" w:rsidRDefault="009F46D6" w:rsidP="009F46D6">
            <w:r w:rsidRPr="009F46D6">
              <w:t xml:space="preserve">ANTH 329 Queer and Trans </w:t>
            </w:r>
            <w:r>
              <w:t>Anthro</w:t>
            </w:r>
            <w:proofErr w:type="gramStart"/>
            <w:r>
              <w:t xml:space="preserve"> </w:t>
            </w:r>
            <w:r w:rsidRPr="009F46D6">
              <w:t xml:space="preserve">  (</w:t>
            </w:r>
            <w:proofErr w:type="gramEnd"/>
            <w:r w:rsidRPr="009F46D6">
              <w:t xml:space="preserve">alt years)          </w:t>
            </w:r>
            <w:r w:rsidR="00020320">
              <w:t>(4)</w:t>
            </w:r>
          </w:p>
          <w:p w14:paraId="11ECFD19" w14:textId="4E6DCED3" w:rsidR="009F46D6" w:rsidRPr="009F46D6" w:rsidRDefault="00E4481C" w:rsidP="009F46D6">
            <w:r>
              <w:t xml:space="preserve">FILM </w:t>
            </w:r>
            <w:r w:rsidR="009F46D6" w:rsidRPr="009F46D6">
              <w:t xml:space="preserve">352 Queer </w:t>
            </w:r>
            <w:proofErr w:type="gramStart"/>
            <w:r w:rsidR="009F46D6" w:rsidRPr="009F46D6">
              <w:t xml:space="preserve">Cinema </w:t>
            </w:r>
            <w:r w:rsidR="00020320">
              <w:t xml:space="preserve"> (</w:t>
            </w:r>
            <w:proofErr w:type="gramEnd"/>
            <w:r w:rsidR="00020320">
              <w:t>4)</w:t>
            </w:r>
          </w:p>
          <w:p w14:paraId="4BB6508B" w14:textId="61DA7F5C" w:rsidR="009F46D6" w:rsidRPr="009F46D6" w:rsidRDefault="009F46D6" w:rsidP="009F46D6">
            <w:r>
              <w:t xml:space="preserve">PSYC </w:t>
            </w:r>
            <w:r w:rsidRPr="009F46D6">
              <w:t xml:space="preserve">356 Psychology of Gender (f, </w:t>
            </w:r>
            <w:proofErr w:type="spellStart"/>
            <w:r w:rsidRPr="009F46D6">
              <w:t>sp</w:t>
            </w:r>
            <w:proofErr w:type="spellEnd"/>
            <w:r w:rsidRPr="009F46D6">
              <w:t>)</w:t>
            </w:r>
            <w:r w:rsidR="00020320">
              <w:t xml:space="preserve"> (4)</w:t>
            </w:r>
          </w:p>
          <w:p w14:paraId="0304251C" w14:textId="1654D0C1" w:rsidR="009F46D6" w:rsidRDefault="009F46D6" w:rsidP="009F46D6">
            <w:r>
              <w:t xml:space="preserve">PSYC </w:t>
            </w:r>
            <w:r w:rsidRPr="009F46D6">
              <w:t xml:space="preserve">351 Psychology of Human </w:t>
            </w:r>
            <w:proofErr w:type="gramStart"/>
            <w:r w:rsidRPr="009F46D6">
              <w:t>Diversity  (</w:t>
            </w:r>
            <w:proofErr w:type="gramEnd"/>
            <w:r w:rsidRPr="009F46D6">
              <w:t xml:space="preserve">f, </w:t>
            </w:r>
            <w:proofErr w:type="spellStart"/>
            <w:r w:rsidRPr="009F46D6">
              <w:t>sp</w:t>
            </w:r>
            <w:proofErr w:type="spellEnd"/>
            <w:r w:rsidRPr="009F46D6">
              <w:t>)</w:t>
            </w:r>
            <w:r w:rsidR="00020320">
              <w:t xml:space="preserve"> (4)</w:t>
            </w:r>
          </w:p>
          <w:p w14:paraId="0DA66663" w14:textId="149BD48D" w:rsidR="009F46D6" w:rsidRPr="00657D84" w:rsidRDefault="009F46D6" w:rsidP="00657D84">
            <w:r w:rsidRPr="009F46D6">
              <w:t>SWRK 4</w:t>
            </w:r>
            <w:r w:rsidR="00AE36AE">
              <w:t>72</w:t>
            </w:r>
            <w:r w:rsidRPr="009F46D6">
              <w:t xml:space="preserve"> Sexual Orientation and Gender Identity (</w:t>
            </w:r>
            <w:proofErr w:type="spellStart"/>
            <w:r w:rsidRPr="009F46D6">
              <w:t>sp</w:t>
            </w:r>
            <w:proofErr w:type="spellEnd"/>
            <w:r w:rsidRPr="009F46D6">
              <w:t>)</w:t>
            </w:r>
            <w:r w:rsidR="00020320">
              <w:t xml:space="preserve"> (3)</w:t>
            </w:r>
          </w:p>
        </w:tc>
      </w:tr>
      <w:tr w:rsidR="009F46D6" w:rsidRPr="006E3AF2" w14:paraId="07853955" w14:textId="77777777" w:rsidTr="00657D84">
        <w:tc>
          <w:tcPr>
            <w:tcW w:w="3100" w:type="dxa"/>
            <w:noWrap/>
            <w:vAlign w:val="center"/>
          </w:tcPr>
          <w:p w14:paraId="38AD1617" w14:textId="33D4A26B" w:rsidR="009F46D6" w:rsidRDefault="009F46D6" w:rsidP="009F46D6">
            <w:pPr>
              <w:spacing w:line="240" w:lineRule="auto"/>
            </w:pPr>
            <w:r>
              <w:t xml:space="preserve">C.5.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1390" w:type="dxa"/>
            <w:noWrap/>
          </w:tcPr>
          <w:p w14:paraId="63353FC7" w14:textId="77777777" w:rsidR="009F46D6" w:rsidRPr="009F029C" w:rsidRDefault="009F46D6" w:rsidP="009F46D6">
            <w:pPr>
              <w:spacing w:line="240" w:lineRule="auto"/>
              <w:rPr>
                <w:b/>
              </w:rPr>
            </w:pPr>
            <w:bookmarkStart w:id="29" w:name="credit_count"/>
            <w:bookmarkEnd w:id="29"/>
          </w:p>
        </w:tc>
        <w:tc>
          <w:tcPr>
            <w:tcW w:w="6290" w:type="dxa"/>
            <w:noWrap/>
          </w:tcPr>
          <w:p w14:paraId="0CDCA3D1" w14:textId="6BD205F5" w:rsidR="009F46D6" w:rsidRPr="009F029C" w:rsidRDefault="009F46D6" w:rsidP="009F46D6">
            <w:pPr>
              <w:spacing w:line="240" w:lineRule="auto"/>
              <w:rPr>
                <w:b/>
              </w:rPr>
            </w:pPr>
            <w:r>
              <w:rPr>
                <w:b/>
              </w:rPr>
              <w:t>1</w:t>
            </w:r>
            <w:r w:rsidR="00E4481C">
              <w:rPr>
                <w:b/>
              </w:rPr>
              <w:t>9</w:t>
            </w:r>
            <w:r>
              <w:rPr>
                <w:b/>
              </w:rPr>
              <w:t>-20</w:t>
            </w:r>
          </w:p>
        </w:tc>
      </w:tr>
      <w:tr w:rsidR="009F46D6" w:rsidRPr="006E3AF2" w14:paraId="380591A9" w14:textId="77777777" w:rsidTr="00657D84">
        <w:tc>
          <w:tcPr>
            <w:tcW w:w="3100" w:type="dxa"/>
            <w:noWrap/>
            <w:vAlign w:val="center"/>
          </w:tcPr>
          <w:p w14:paraId="1CF53265" w14:textId="45E29047" w:rsidR="009F46D6" w:rsidRDefault="009F46D6" w:rsidP="009F46D6">
            <w:pPr>
              <w:spacing w:line="240" w:lineRule="auto"/>
            </w:pPr>
            <w:r>
              <w:t>C.6. Other changes if any</w:t>
            </w:r>
          </w:p>
        </w:tc>
        <w:tc>
          <w:tcPr>
            <w:tcW w:w="1390" w:type="dxa"/>
            <w:noWrap/>
          </w:tcPr>
          <w:p w14:paraId="059B0F3B" w14:textId="77777777" w:rsidR="009F46D6" w:rsidRPr="009F029C" w:rsidRDefault="009F46D6" w:rsidP="009F46D6">
            <w:pPr>
              <w:spacing w:line="240" w:lineRule="auto"/>
              <w:rPr>
                <w:b/>
              </w:rPr>
            </w:pPr>
          </w:p>
        </w:tc>
        <w:tc>
          <w:tcPr>
            <w:tcW w:w="6290" w:type="dxa"/>
            <w:noWrap/>
          </w:tcPr>
          <w:p w14:paraId="28A4094D" w14:textId="5A4C5130" w:rsidR="009F46D6" w:rsidRPr="00214C8C" w:rsidRDefault="00214C8C" w:rsidP="00214C8C">
            <w:pPr>
              <w:pStyle w:val="sc-Total"/>
              <w:rPr>
                <w:rFonts w:asciiTheme="minorHAnsi" w:hAnsiTheme="minorHAnsi"/>
                <w:b w:val="0"/>
                <w:sz w:val="22"/>
                <w:szCs w:val="22"/>
              </w:rPr>
            </w:pPr>
            <w:r w:rsidRPr="00214C8C">
              <w:rPr>
                <w:rFonts w:asciiTheme="minorHAnsi" w:hAnsiTheme="minorHAnsi"/>
                <w:b w:val="0"/>
                <w:sz w:val="22"/>
                <w:szCs w:val="22"/>
              </w:rPr>
              <w:t xml:space="preserve">Note to be included </w:t>
            </w:r>
            <w:r>
              <w:rPr>
                <w:rFonts w:asciiTheme="minorHAnsi" w:hAnsiTheme="minorHAnsi"/>
                <w:b w:val="0"/>
                <w:sz w:val="22"/>
                <w:szCs w:val="22"/>
              </w:rPr>
              <w:t>under the course list</w:t>
            </w:r>
            <w:r w:rsidRPr="00214C8C">
              <w:rPr>
                <w:rFonts w:asciiTheme="minorHAnsi" w:hAnsiTheme="minorHAnsi"/>
                <w:b w:val="0"/>
                <w:sz w:val="22"/>
                <w:szCs w:val="22"/>
              </w:rPr>
              <w:t>: “</w:t>
            </w:r>
            <w:r w:rsidRPr="00214C8C">
              <w:rPr>
                <w:rFonts w:asciiTheme="minorHAnsi" w:hAnsiTheme="minorHAnsi"/>
                <w:b w:val="0"/>
                <w:sz w:val="22"/>
                <w:szCs w:val="22"/>
              </w:rPr>
              <w:t>Note: The interdisciplinary courses have prerequisites, which may need to be met, or in some cases, it is possible to enroll by consent if requested. See advisor.</w:t>
            </w:r>
            <w:bookmarkStart w:id="30" w:name="_GoBack"/>
            <w:bookmarkEnd w:id="30"/>
          </w:p>
        </w:tc>
      </w:tr>
      <w:tr w:rsidR="009F46D6" w:rsidRPr="006E3AF2" w14:paraId="68C8592C" w14:textId="77777777" w:rsidTr="00657D84">
        <w:tc>
          <w:tcPr>
            <w:tcW w:w="3100" w:type="dxa"/>
            <w:noWrap/>
            <w:vAlign w:val="center"/>
          </w:tcPr>
          <w:p w14:paraId="20B54EE3" w14:textId="7EA244AB" w:rsidR="009F46D6" w:rsidRDefault="009F46D6" w:rsidP="009F46D6">
            <w:pPr>
              <w:spacing w:line="240" w:lineRule="auto"/>
            </w:pPr>
            <w:r>
              <w:lastRenderedPageBreak/>
              <w:t xml:space="preserve">C.7  </w:t>
            </w:r>
            <w:hyperlink r:id="rId11" w:tooltip="You may also include here expected methods of assessing student learning and possible career paths for students taking this program" w:history="1">
              <w:r w:rsidRPr="00F3256C">
                <w:rPr>
                  <w:rStyle w:val="Hyperlink"/>
                </w:rPr>
                <w:t>Program goals</w:t>
              </w:r>
            </w:hyperlink>
          </w:p>
          <w:p w14:paraId="201C38CF" w14:textId="3CEACCEC" w:rsidR="009F46D6" w:rsidRDefault="009F46D6" w:rsidP="009F46D6">
            <w:pPr>
              <w:spacing w:line="240" w:lineRule="auto"/>
            </w:pPr>
            <w:r>
              <w:t>Needed for all new programs</w:t>
            </w:r>
          </w:p>
        </w:tc>
        <w:tc>
          <w:tcPr>
            <w:tcW w:w="1390" w:type="dxa"/>
            <w:noWrap/>
          </w:tcPr>
          <w:p w14:paraId="75BC195D" w14:textId="77777777" w:rsidR="009F46D6" w:rsidRPr="009F029C" w:rsidRDefault="009F46D6" w:rsidP="009F46D6">
            <w:pPr>
              <w:spacing w:line="240" w:lineRule="auto"/>
              <w:rPr>
                <w:b/>
              </w:rPr>
            </w:pPr>
          </w:p>
        </w:tc>
        <w:tc>
          <w:tcPr>
            <w:tcW w:w="6290" w:type="dxa"/>
            <w:noWrap/>
          </w:tcPr>
          <w:p w14:paraId="4FD7FCBB" w14:textId="4523FD92" w:rsidR="00657D84" w:rsidRDefault="00657D84" w:rsidP="00657D84">
            <w:pPr>
              <w:spacing w:line="240" w:lineRule="auto"/>
              <w:rPr>
                <w:rFonts w:ascii="Times New Roman" w:hAnsi="Times New Roman"/>
                <w:sz w:val="24"/>
                <w:szCs w:val="24"/>
              </w:rPr>
            </w:pPr>
            <w:r>
              <w:rPr>
                <w:rFonts w:ascii="Times New Roman" w:hAnsi="Times New Roman"/>
                <w:sz w:val="24"/>
                <w:szCs w:val="24"/>
              </w:rPr>
              <w:t xml:space="preserve">Students who advocated for this program are intent on specializing in work with the LGBTQ+ community, and expressed their need and desire for focused training in this area. Gender and Women’s Studies, Social Work, Youth Development, Nursing, Sociology and Education will prepare them for their professions, but this minor will make enormous contribution to their professional development. While some college courses touch on LGBTQ+ issues and perspectives, it is critical for our students, and for the broader community that our students serve, to establish an academic program that focuses explicitly on the interdisciplinary field of queer studies.  A </w:t>
            </w:r>
            <w:r w:rsidRPr="00E1254E">
              <w:rPr>
                <w:rFonts w:ascii="Times New Roman" w:hAnsi="Times New Roman"/>
                <w:sz w:val="24"/>
                <w:szCs w:val="24"/>
              </w:rPr>
              <w:t xml:space="preserve">minor </w:t>
            </w:r>
            <w:r>
              <w:rPr>
                <w:rFonts w:ascii="Times New Roman" w:hAnsi="Times New Roman"/>
                <w:sz w:val="24"/>
                <w:szCs w:val="24"/>
              </w:rPr>
              <w:t>in Queer</w:t>
            </w:r>
            <w:r w:rsidRPr="00E1254E">
              <w:rPr>
                <w:rFonts w:ascii="Times New Roman" w:hAnsi="Times New Roman"/>
                <w:sz w:val="24"/>
                <w:szCs w:val="24"/>
              </w:rPr>
              <w:t xml:space="preserve"> Studies prepare students for a large variety of careers. Students can work in LGBTQ+ non-profit agencies, law, local and national politics, health care settings, counseling centers, journalism, news media, theatre, film, fine arts, and education.</w:t>
            </w:r>
            <w:r>
              <w:rPr>
                <w:rFonts w:ascii="Times New Roman" w:hAnsi="Times New Roman"/>
                <w:sz w:val="24"/>
                <w:szCs w:val="24"/>
              </w:rPr>
              <w:t xml:space="preserve">  A nursing major explained the professional benefits of a background in queer studies; it would “help me to better care for patients of all sexual orientations and gender identities.” Another student stated, “</w:t>
            </w:r>
            <w:r w:rsidRPr="00EF753D">
              <w:rPr>
                <w:rFonts w:ascii="Times New Roman" w:hAnsi="Times New Roman"/>
                <w:sz w:val="24"/>
                <w:szCs w:val="24"/>
              </w:rPr>
              <w:t>I think we need this program; we need these spaces. I am currently in the midst of a practicum</w:t>
            </w:r>
            <w:r>
              <w:rPr>
                <w:rFonts w:ascii="Times New Roman" w:hAnsi="Times New Roman"/>
                <w:sz w:val="24"/>
                <w:szCs w:val="24"/>
              </w:rPr>
              <w:t xml:space="preserve"> placement in education. </w:t>
            </w:r>
            <w:r w:rsidRPr="00EF753D">
              <w:rPr>
                <w:rFonts w:ascii="Times New Roman" w:hAnsi="Times New Roman"/>
                <w:sz w:val="24"/>
                <w:szCs w:val="24"/>
              </w:rPr>
              <w:t>The class I am working with is currently</w:t>
            </w:r>
            <w:r>
              <w:rPr>
                <w:rFonts w:ascii="Times New Roman" w:hAnsi="Times New Roman"/>
                <w:sz w:val="24"/>
                <w:szCs w:val="24"/>
              </w:rPr>
              <w:t xml:space="preserve"> </w:t>
            </w:r>
            <w:r w:rsidRPr="00EF753D">
              <w:rPr>
                <w:rFonts w:ascii="Times New Roman" w:hAnsi="Times New Roman"/>
                <w:sz w:val="24"/>
                <w:szCs w:val="24"/>
              </w:rPr>
              <w:t>writing cultural narratives. Last week I worked alongside a young girl who asked me if she could</w:t>
            </w:r>
            <w:r>
              <w:rPr>
                <w:rFonts w:ascii="Times New Roman" w:hAnsi="Times New Roman"/>
                <w:sz w:val="24"/>
                <w:szCs w:val="24"/>
              </w:rPr>
              <w:t xml:space="preserve"> </w:t>
            </w:r>
            <w:r w:rsidRPr="00EF753D">
              <w:rPr>
                <w:rFonts w:ascii="Times New Roman" w:hAnsi="Times New Roman"/>
                <w:sz w:val="24"/>
                <w:szCs w:val="24"/>
              </w:rPr>
              <w:t>write about gender roles and sexuality. She is writing her paper about the LGBTQ+ community.</w:t>
            </w:r>
            <w:r>
              <w:rPr>
                <w:rFonts w:ascii="Times New Roman" w:hAnsi="Times New Roman"/>
                <w:sz w:val="24"/>
                <w:szCs w:val="24"/>
              </w:rPr>
              <w:t xml:space="preserve"> </w:t>
            </w:r>
            <w:r w:rsidRPr="00EF753D">
              <w:rPr>
                <w:rFonts w:ascii="Times New Roman" w:hAnsi="Times New Roman"/>
                <w:sz w:val="24"/>
                <w:szCs w:val="24"/>
              </w:rPr>
              <w:t>She is in seventh grade.</w:t>
            </w:r>
            <w:r>
              <w:rPr>
                <w:rFonts w:ascii="Times New Roman" w:hAnsi="Times New Roman"/>
                <w:sz w:val="24"/>
                <w:szCs w:val="24"/>
              </w:rPr>
              <w:t>”</w:t>
            </w:r>
          </w:p>
          <w:p w14:paraId="2C077C55" w14:textId="77777777" w:rsidR="00657D84" w:rsidRDefault="00657D84" w:rsidP="00657D84">
            <w:pPr>
              <w:spacing w:line="240" w:lineRule="auto"/>
              <w:rPr>
                <w:rFonts w:ascii="Times New Roman" w:hAnsi="Times New Roman"/>
                <w:sz w:val="24"/>
                <w:szCs w:val="24"/>
              </w:rPr>
            </w:pPr>
          </w:p>
          <w:p w14:paraId="3639A005" w14:textId="77777777" w:rsidR="00657D84" w:rsidRPr="00AF3365" w:rsidRDefault="00657D84" w:rsidP="00657D84">
            <w:pPr>
              <w:spacing w:after="200" w:line="240" w:lineRule="auto"/>
              <w:rPr>
                <w:rFonts w:ascii="Times New Roman" w:hAnsi="Times New Roman" w:cstheme="minorBidi"/>
                <w:sz w:val="24"/>
                <w:szCs w:val="24"/>
              </w:rPr>
            </w:pPr>
            <w:r>
              <w:rPr>
                <w:rFonts w:ascii="Times New Roman" w:hAnsi="Times New Roman"/>
                <w:sz w:val="24"/>
                <w:szCs w:val="24"/>
              </w:rPr>
              <w:t xml:space="preserve">For RIC graduates interested in entering specialized fields, this degree provides a credential for potential employers. </w:t>
            </w:r>
          </w:p>
          <w:p w14:paraId="5BBCC32C" w14:textId="77777777" w:rsidR="00657D84" w:rsidRDefault="00657D84" w:rsidP="00657D84">
            <w:pPr>
              <w:spacing w:line="240" w:lineRule="auto"/>
              <w:rPr>
                <w:rFonts w:ascii="Times New Roman" w:hAnsi="Times New Roman"/>
                <w:sz w:val="24"/>
                <w:szCs w:val="24"/>
              </w:rPr>
            </w:pPr>
            <w:r>
              <w:rPr>
                <w:rFonts w:ascii="Times New Roman" w:hAnsi="Times New Roman"/>
                <w:sz w:val="24"/>
                <w:szCs w:val="24"/>
              </w:rPr>
              <w:t>Of course, even for students pursuing other paths of study or careers, Queer Studies strengthens and extends the kinds of questions we ask, contributing to critical thinking and innovative problem solving.  For example, Queer Studies fosters interrogations such as:  Whose voice is missing?  Why and how have they been excluded?  Whose voice is represented?  Why?  One result of Queer Studies scholarship is the use of queer as a verb, so that students learn to “queer” their lens, “queering” their perspective, tipping “normality” upside down.</w:t>
            </w:r>
          </w:p>
          <w:p w14:paraId="73984347" w14:textId="77777777" w:rsidR="00657D84" w:rsidRDefault="00657D84" w:rsidP="00657D84">
            <w:pPr>
              <w:spacing w:line="240" w:lineRule="auto"/>
              <w:rPr>
                <w:rFonts w:ascii="Times New Roman" w:hAnsi="Times New Roman"/>
                <w:sz w:val="24"/>
                <w:szCs w:val="24"/>
              </w:rPr>
            </w:pPr>
          </w:p>
          <w:p w14:paraId="3359E1E5" w14:textId="04A85E80" w:rsidR="00657D84" w:rsidRDefault="00657D84" w:rsidP="00657D84">
            <w:pPr>
              <w:spacing w:line="240" w:lineRule="auto"/>
              <w:rPr>
                <w:rFonts w:ascii="Times New Roman" w:hAnsi="Times New Roman"/>
                <w:sz w:val="24"/>
                <w:szCs w:val="24"/>
              </w:rPr>
            </w:pPr>
            <w:r>
              <w:rPr>
                <w:rFonts w:ascii="Times New Roman" w:hAnsi="Times New Roman"/>
                <w:sz w:val="24"/>
                <w:szCs w:val="24"/>
              </w:rPr>
              <w:t>As Rhode Island College attempts to broaden our vision and perspective for 21</w:t>
            </w:r>
            <w:r w:rsidRPr="00FC2FB0">
              <w:rPr>
                <w:rFonts w:ascii="Times New Roman" w:hAnsi="Times New Roman"/>
                <w:sz w:val="24"/>
                <w:szCs w:val="24"/>
                <w:vertAlign w:val="superscript"/>
              </w:rPr>
              <w:t>st</w:t>
            </w:r>
            <w:r>
              <w:rPr>
                <w:rFonts w:ascii="Times New Roman" w:hAnsi="Times New Roman"/>
                <w:sz w:val="24"/>
                <w:szCs w:val="24"/>
              </w:rPr>
              <w:t xml:space="preserve"> century goals, this course supports that mission of addressing diverse needs in the Rhode Island community as well as among our students.</w:t>
            </w:r>
          </w:p>
          <w:p w14:paraId="4A3DFAB7" w14:textId="46C80A62" w:rsidR="00657D84" w:rsidRDefault="00657D84" w:rsidP="00657D84">
            <w:pPr>
              <w:spacing w:line="240" w:lineRule="auto"/>
              <w:rPr>
                <w:rFonts w:ascii="Times New Roman" w:hAnsi="Times New Roman"/>
                <w:sz w:val="24"/>
                <w:szCs w:val="24"/>
              </w:rPr>
            </w:pPr>
          </w:p>
          <w:p w14:paraId="42E93F98" w14:textId="77777777" w:rsidR="00657D84" w:rsidRPr="00355BD2" w:rsidRDefault="00657D84" w:rsidP="00657D84">
            <w:pPr>
              <w:rPr>
                <w:rFonts w:ascii="Times New Roman" w:hAnsi="Times New Roman"/>
                <w:b/>
                <w:sz w:val="24"/>
                <w:szCs w:val="24"/>
              </w:rPr>
            </w:pPr>
            <w:r w:rsidRPr="00355BD2">
              <w:rPr>
                <w:rFonts w:ascii="Times New Roman" w:hAnsi="Times New Roman"/>
                <w:b/>
                <w:sz w:val="24"/>
                <w:szCs w:val="24"/>
              </w:rPr>
              <w:t>Service to the campus community</w:t>
            </w:r>
          </w:p>
          <w:p w14:paraId="09397F7E" w14:textId="77777777" w:rsidR="00657D84" w:rsidRDefault="00657D84" w:rsidP="00657D84">
            <w:pPr>
              <w:rPr>
                <w:rFonts w:ascii="Times New Roman" w:hAnsi="Times New Roman"/>
                <w:sz w:val="24"/>
                <w:szCs w:val="24"/>
              </w:rPr>
            </w:pPr>
            <w:r>
              <w:rPr>
                <w:rFonts w:ascii="Times New Roman" w:hAnsi="Times New Roman"/>
                <w:sz w:val="24"/>
                <w:szCs w:val="24"/>
              </w:rPr>
              <w:t>In</w:t>
            </w:r>
            <w:r w:rsidRPr="00EF753D">
              <w:rPr>
                <w:rFonts w:ascii="Times New Roman" w:hAnsi="Times New Roman"/>
                <w:sz w:val="24"/>
                <w:szCs w:val="24"/>
              </w:rPr>
              <w:t xml:space="preserve"> addition to students interested in the topic area, </w:t>
            </w:r>
            <w:r>
              <w:rPr>
                <w:rFonts w:ascii="Times New Roman" w:hAnsi="Times New Roman"/>
                <w:sz w:val="24"/>
                <w:szCs w:val="24"/>
              </w:rPr>
              <w:t>the minor</w:t>
            </w:r>
            <w:r w:rsidRPr="00EF753D">
              <w:rPr>
                <w:rFonts w:ascii="Times New Roman" w:hAnsi="Times New Roman"/>
                <w:sz w:val="24"/>
                <w:szCs w:val="24"/>
              </w:rPr>
              <w:t xml:space="preserve"> is also intended to serve the </w:t>
            </w:r>
            <w:proofErr w:type="spellStart"/>
            <w:r w:rsidRPr="00EF753D">
              <w:rPr>
                <w:rFonts w:ascii="Times New Roman" w:hAnsi="Times New Roman"/>
                <w:sz w:val="24"/>
                <w:szCs w:val="24"/>
              </w:rPr>
              <w:t>LGBTQ+Allyship</w:t>
            </w:r>
            <w:proofErr w:type="spellEnd"/>
            <w:r w:rsidRPr="00EF753D">
              <w:rPr>
                <w:rFonts w:ascii="Times New Roman" w:hAnsi="Times New Roman"/>
                <w:sz w:val="24"/>
                <w:szCs w:val="24"/>
              </w:rPr>
              <w:t xml:space="preserve"> Living Learning Community (LLC), located in Thorp Hall.  This new and successful LLC will be aligned with a curricular component, namely in the form of </w:t>
            </w:r>
            <w:r>
              <w:rPr>
                <w:rFonts w:ascii="Times New Roman" w:hAnsi="Times New Roman"/>
                <w:sz w:val="24"/>
                <w:szCs w:val="24"/>
              </w:rPr>
              <w:t>courses in this minor,</w:t>
            </w:r>
            <w:r w:rsidRPr="00EF753D">
              <w:rPr>
                <w:rFonts w:ascii="Times New Roman" w:hAnsi="Times New Roman"/>
                <w:sz w:val="24"/>
                <w:szCs w:val="24"/>
              </w:rPr>
              <w:t xml:space="preserve"> aligning with the mission and goals of LLCs on campus.  </w:t>
            </w:r>
          </w:p>
          <w:p w14:paraId="7DDCC402" w14:textId="77777777" w:rsidR="00657D84" w:rsidRPr="00EF753D" w:rsidRDefault="00657D84" w:rsidP="00657D84">
            <w:pPr>
              <w:rPr>
                <w:rFonts w:ascii="Times New Roman" w:hAnsi="Times New Roman"/>
                <w:sz w:val="24"/>
                <w:szCs w:val="24"/>
              </w:rPr>
            </w:pPr>
          </w:p>
          <w:p w14:paraId="03432B85" w14:textId="1DFEE48F" w:rsidR="00657D84" w:rsidRDefault="00657D84" w:rsidP="00657D84">
            <w:pPr>
              <w:spacing w:line="240" w:lineRule="auto"/>
              <w:rPr>
                <w:rFonts w:ascii="Times New Roman" w:hAnsi="Times New Roman"/>
                <w:sz w:val="24"/>
                <w:szCs w:val="24"/>
              </w:rPr>
            </w:pPr>
            <w:r>
              <w:rPr>
                <w:rFonts w:ascii="Times New Roman" w:hAnsi="Times New Roman"/>
                <w:sz w:val="24"/>
                <w:szCs w:val="24"/>
              </w:rPr>
              <w:t>The minor</w:t>
            </w:r>
            <w:r w:rsidRPr="00EF753D">
              <w:rPr>
                <w:rFonts w:ascii="Times New Roman" w:hAnsi="Times New Roman"/>
                <w:sz w:val="24"/>
                <w:szCs w:val="24"/>
              </w:rPr>
              <w:t xml:space="preserve"> is also intended to support the interests and needs of students involved in the Unity Center, especially those seeking community around issues of gender and sexuality.  </w:t>
            </w:r>
          </w:p>
          <w:p w14:paraId="4C25FF84" w14:textId="77777777" w:rsidR="009F46D6" w:rsidRPr="009F029C" w:rsidRDefault="009F46D6" w:rsidP="009F46D6">
            <w:pPr>
              <w:spacing w:line="240" w:lineRule="auto"/>
              <w:rPr>
                <w:b/>
              </w:rPr>
            </w:pPr>
          </w:p>
        </w:tc>
      </w:tr>
    </w:tbl>
    <w:p w14:paraId="48B1CD32" w14:textId="77777777" w:rsidR="00F64260" w:rsidRDefault="00F64260">
      <w:pPr>
        <w:spacing w:line="240" w:lineRule="auto"/>
      </w:pPr>
      <w:r>
        <w:lastRenderedPageBreak/>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7"/>
        <w:gridCol w:w="12"/>
        <w:gridCol w:w="3242"/>
        <w:gridCol w:w="10"/>
        <w:gridCol w:w="3188"/>
        <w:gridCol w:w="1161"/>
      </w:tblGrid>
      <w:tr w:rsidR="00115A68" w:rsidRPr="00402602" w14:paraId="67436BB2" w14:textId="77777777" w:rsidTr="00657D84">
        <w:trPr>
          <w:cantSplit/>
          <w:tblHeader/>
        </w:trPr>
        <w:tc>
          <w:tcPr>
            <w:tcW w:w="3167" w:type="dxa"/>
            <w:vAlign w:val="center"/>
          </w:tcPr>
          <w:p w14:paraId="739386E3" w14:textId="77777777" w:rsidR="00115A68" w:rsidRPr="00A83A6C" w:rsidRDefault="00115A68" w:rsidP="0015571B">
            <w:pPr>
              <w:pStyle w:val="Heading5"/>
              <w:jc w:val="center"/>
            </w:pPr>
            <w:r w:rsidRPr="00A83A6C">
              <w:t>Name</w:t>
            </w:r>
          </w:p>
        </w:tc>
        <w:tc>
          <w:tcPr>
            <w:tcW w:w="3254" w:type="dxa"/>
            <w:gridSpan w:val="2"/>
            <w:vAlign w:val="center"/>
          </w:tcPr>
          <w:p w14:paraId="7DAAAD1E" w14:textId="77777777" w:rsidR="00115A68" w:rsidRPr="00A83A6C" w:rsidRDefault="00115A68" w:rsidP="0015571B">
            <w:pPr>
              <w:pStyle w:val="Heading5"/>
              <w:jc w:val="center"/>
            </w:pPr>
            <w:r w:rsidRPr="00A83A6C">
              <w:t>Position/affiliation</w:t>
            </w:r>
          </w:p>
        </w:tc>
        <w:bookmarkStart w:id="31" w:name="_Signature"/>
        <w:bookmarkEnd w:id="31"/>
        <w:tc>
          <w:tcPr>
            <w:tcW w:w="3198" w:type="dxa"/>
            <w:gridSpan w:val="2"/>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657D84">
        <w:trPr>
          <w:cantSplit/>
          <w:trHeight w:val="489"/>
        </w:trPr>
        <w:tc>
          <w:tcPr>
            <w:tcW w:w="3167" w:type="dxa"/>
            <w:vAlign w:val="center"/>
          </w:tcPr>
          <w:p w14:paraId="20877218" w14:textId="2EABC96B" w:rsidR="00115A68" w:rsidRDefault="00DA7161" w:rsidP="0015571B">
            <w:pPr>
              <w:spacing w:line="240" w:lineRule="auto"/>
            </w:pPr>
            <w:r>
              <w:t>Leslie Schuster</w:t>
            </w:r>
          </w:p>
        </w:tc>
        <w:tc>
          <w:tcPr>
            <w:tcW w:w="3254" w:type="dxa"/>
            <w:gridSpan w:val="2"/>
            <w:vAlign w:val="center"/>
          </w:tcPr>
          <w:p w14:paraId="0730C1D0" w14:textId="7814454F" w:rsidR="00115A68" w:rsidRDefault="00115A68" w:rsidP="0015571B">
            <w:pPr>
              <w:spacing w:line="240" w:lineRule="auto"/>
            </w:pPr>
            <w:r>
              <w:t>Program Director</w:t>
            </w:r>
            <w:r w:rsidR="00A1661D">
              <w:t>,</w:t>
            </w:r>
            <w:r>
              <w:t xml:space="preserve"> </w:t>
            </w:r>
            <w:r w:rsidR="00DA7161">
              <w:t>Gender and Women’s Studies</w:t>
            </w:r>
          </w:p>
        </w:tc>
        <w:tc>
          <w:tcPr>
            <w:tcW w:w="3198" w:type="dxa"/>
            <w:gridSpan w:val="2"/>
            <w:vAlign w:val="center"/>
          </w:tcPr>
          <w:p w14:paraId="7487F9CA" w14:textId="77777777" w:rsidR="00115A68" w:rsidRDefault="00115A68" w:rsidP="0015571B">
            <w:pPr>
              <w:spacing w:line="240" w:lineRule="auto"/>
            </w:pPr>
          </w:p>
        </w:tc>
        <w:tc>
          <w:tcPr>
            <w:tcW w:w="1161" w:type="dxa"/>
            <w:vAlign w:val="center"/>
          </w:tcPr>
          <w:p w14:paraId="1F86A130" w14:textId="77777777" w:rsidR="00115A68" w:rsidRDefault="00115A68" w:rsidP="0015571B">
            <w:pPr>
              <w:spacing w:line="240" w:lineRule="auto"/>
            </w:pPr>
          </w:p>
        </w:tc>
      </w:tr>
      <w:tr w:rsidR="00DA7161" w14:paraId="6D561363" w14:textId="77777777" w:rsidTr="00657D84">
        <w:trPr>
          <w:cantSplit/>
          <w:trHeight w:val="489"/>
        </w:trPr>
        <w:tc>
          <w:tcPr>
            <w:tcW w:w="3167" w:type="dxa"/>
            <w:vAlign w:val="center"/>
          </w:tcPr>
          <w:p w14:paraId="34EA64D3" w14:textId="2C6106F2" w:rsidR="00DA7161" w:rsidRDefault="00DA7161" w:rsidP="0015571B">
            <w:pPr>
              <w:spacing w:line="240" w:lineRule="auto"/>
            </w:pPr>
            <w:r>
              <w:t>Earl Simson</w:t>
            </w:r>
          </w:p>
        </w:tc>
        <w:tc>
          <w:tcPr>
            <w:tcW w:w="3254" w:type="dxa"/>
            <w:gridSpan w:val="2"/>
            <w:vAlign w:val="center"/>
          </w:tcPr>
          <w:p w14:paraId="1F2ACFF1" w14:textId="02081C22" w:rsidR="00DA7161" w:rsidRDefault="00DA7161" w:rsidP="0015571B">
            <w:pPr>
              <w:spacing w:line="240" w:lineRule="auto"/>
            </w:pPr>
            <w:r>
              <w:t>Dean of Faculty of Arts and Sciences</w:t>
            </w:r>
          </w:p>
        </w:tc>
        <w:tc>
          <w:tcPr>
            <w:tcW w:w="3198" w:type="dxa"/>
            <w:gridSpan w:val="2"/>
            <w:vAlign w:val="center"/>
          </w:tcPr>
          <w:p w14:paraId="4878097F" w14:textId="77777777" w:rsidR="00DA7161" w:rsidRDefault="00DA7161" w:rsidP="0015571B">
            <w:pPr>
              <w:spacing w:line="240" w:lineRule="auto"/>
            </w:pPr>
          </w:p>
        </w:tc>
        <w:tc>
          <w:tcPr>
            <w:tcW w:w="1161" w:type="dxa"/>
            <w:vAlign w:val="center"/>
          </w:tcPr>
          <w:p w14:paraId="401128C6" w14:textId="77777777" w:rsidR="00DA7161" w:rsidRDefault="00DA7161" w:rsidP="0015571B">
            <w:pPr>
              <w:spacing w:line="240" w:lineRule="auto"/>
            </w:pPr>
          </w:p>
        </w:tc>
      </w:tr>
      <w:tr w:rsidR="00657D84" w14:paraId="649E28A7" w14:textId="77777777" w:rsidTr="00657D84">
        <w:trPr>
          <w:cantSplit/>
          <w:trHeight w:val="489"/>
        </w:trPr>
        <w:tc>
          <w:tcPr>
            <w:tcW w:w="3179" w:type="dxa"/>
            <w:gridSpan w:val="2"/>
            <w:vAlign w:val="center"/>
          </w:tcPr>
          <w:p w14:paraId="5CBEA36F" w14:textId="77777777" w:rsidR="00657D84" w:rsidRDefault="00657D84" w:rsidP="009F312F">
            <w:pPr>
              <w:spacing w:line="240" w:lineRule="auto"/>
            </w:pPr>
            <w:proofErr w:type="spellStart"/>
            <w:r>
              <w:t>Praveena</w:t>
            </w:r>
            <w:proofErr w:type="spellEnd"/>
            <w:r>
              <w:t xml:space="preserve"> </w:t>
            </w:r>
            <w:proofErr w:type="spellStart"/>
            <w:r>
              <w:t>Galipuli</w:t>
            </w:r>
            <w:proofErr w:type="spellEnd"/>
          </w:p>
        </w:tc>
        <w:tc>
          <w:tcPr>
            <w:tcW w:w="3252" w:type="dxa"/>
            <w:gridSpan w:val="2"/>
            <w:vAlign w:val="center"/>
          </w:tcPr>
          <w:p w14:paraId="1890C9CB" w14:textId="77777777" w:rsidR="00657D84" w:rsidRDefault="00657D84" w:rsidP="009F312F">
            <w:pPr>
              <w:spacing w:line="240" w:lineRule="auto"/>
            </w:pPr>
            <w:r>
              <w:t>Chair of Anthropology</w:t>
            </w:r>
          </w:p>
        </w:tc>
        <w:tc>
          <w:tcPr>
            <w:tcW w:w="3188" w:type="dxa"/>
            <w:vAlign w:val="center"/>
          </w:tcPr>
          <w:p w14:paraId="059A3CE1" w14:textId="77777777" w:rsidR="00657D84" w:rsidRDefault="00657D84" w:rsidP="009F312F">
            <w:pPr>
              <w:spacing w:line="240" w:lineRule="auto"/>
            </w:pPr>
          </w:p>
        </w:tc>
        <w:tc>
          <w:tcPr>
            <w:tcW w:w="1161" w:type="dxa"/>
            <w:vAlign w:val="center"/>
          </w:tcPr>
          <w:p w14:paraId="091E25D6" w14:textId="77777777" w:rsidR="00657D84" w:rsidRDefault="00657D84" w:rsidP="009F312F">
            <w:pPr>
              <w:spacing w:line="240" w:lineRule="auto"/>
            </w:pPr>
          </w:p>
        </w:tc>
      </w:tr>
      <w:tr w:rsidR="00657D84" w14:paraId="1567F8C9" w14:textId="77777777" w:rsidTr="00657D84">
        <w:trPr>
          <w:cantSplit/>
          <w:trHeight w:val="489"/>
        </w:trPr>
        <w:tc>
          <w:tcPr>
            <w:tcW w:w="3179" w:type="dxa"/>
            <w:gridSpan w:val="2"/>
            <w:vAlign w:val="center"/>
          </w:tcPr>
          <w:p w14:paraId="228A8B6D" w14:textId="77777777" w:rsidR="00657D84" w:rsidRDefault="00657D84" w:rsidP="009F312F">
            <w:pPr>
              <w:spacing w:line="240" w:lineRule="auto"/>
            </w:pPr>
            <w:r>
              <w:t>Randi Kim</w:t>
            </w:r>
          </w:p>
        </w:tc>
        <w:tc>
          <w:tcPr>
            <w:tcW w:w="3252" w:type="dxa"/>
            <w:gridSpan w:val="2"/>
            <w:vAlign w:val="center"/>
          </w:tcPr>
          <w:p w14:paraId="381398A2" w14:textId="77777777" w:rsidR="00657D84" w:rsidRDefault="00657D84" w:rsidP="009F312F">
            <w:pPr>
              <w:spacing w:line="240" w:lineRule="auto"/>
            </w:pPr>
            <w:r>
              <w:t>Chair of Psychology</w:t>
            </w:r>
          </w:p>
        </w:tc>
        <w:tc>
          <w:tcPr>
            <w:tcW w:w="3188" w:type="dxa"/>
            <w:vAlign w:val="center"/>
          </w:tcPr>
          <w:p w14:paraId="62D355FE" w14:textId="77777777" w:rsidR="00657D84" w:rsidRDefault="00657D84" w:rsidP="009F312F">
            <w:pPr>
              <w:spacing w:line="240" w:lineRule="auto"/>
            </w:pPr>
          </w:p>
        </w:tc>
        <w:tc>
          <w:tcPr>
            <w:tcW w:w="1161" w:type="dxa"/>
            <w:vAlign w:val="center"/>
          </w:tcPr>
          <w:p w14:paraId="6096D4A0" w14:textId="77777777" w:rsidR="00657D84" w:rsidRDefault="00657D84" w:rsidP="009F312F">
            <w:pPr>
              <w:spacing w:line="240" w:lineRule="auto"/>
            </w:pPr>
          </w:p>
        </w:tc>
      </w:tr>
      <w:tr w:rsidR="00657D84" w14:paraId="3C18E0EF" w14:textId="77777777" w:rsidTr="009F312F">
        <w:trPr>
          <w:cantSplit/>
          <w:trHeight w:val="489"/>
        </w:trPr>
        <w:tc>
          <w:tcPr>
            <w:tcW w:w="3179" w:type="dxa"/>
            <w:gridSpan w:val="2"/>
            <w:vAlign w:val="center"/>
          </w:tcPr>
          <w:p w14:paraId="34BD9486" w14:textId="77777777" w:rsidR="00657D84" w:rsidRDefault="00657D84" w:rsidP="009F312F">
            <w:pPr>
              <w:spacing w:line="240" w:lineRule="auto"/>
            </w:pPr>
            <w:r>
              <w:t xml:space="preserve">Vince </w:t>
            </w:r>
            <w:proofErr w:type="spellStart"/>
            <w:r>
              <w:t>Bohlinger</w:t>
            </w:r>
            <w:proofErr w:type="spellEnd"/>
          </w:p>
        </w:tc>
        <w:tc>
          <w:tcPr>
            <w:tcW w:w="3252" w:type="dxa"/>
            <w:gridSpan w:val="2"/>
            <w:vAlign w:val="center"/>
          </w:tcPr>
          <w:p w14:paraId="67F79B24" w14:textId="77777777" w:rsidR="00657D84" w:rsidRDefault="00657D84" w:rsidP="009F312F">
            <w:pPr>
              <w:spacing w:line="240" w:lineRule="auto"/>
            </w:pPr>
            <w:r>
              <w:t>Program director, Film Studies</w:t>
            </w:r>
          </w:p>
        </w:tc>
        <w:tc>
          <w:tcPr>
            <w:tcW w:w="3188" w:type="dxa"/>
            <w:vAlign w:val="center"/>
          </w:tcPr>
          <w:p w14:paraId="21079257" w14:textId="77777777" w:rsidR="00657D84" w:rsidRDefault="00657D84" w:rsidP="009F312F">
            <w:pPr>
              <w:spacing w:line="240" w:lineRule="auto"/>
            </w:pPr>
          </w:p>
        </w:tc>
        <w:tc>
          <w:tcPr>
            <w:tcW w:w="1161" w:type="dxa"/>
            <w:vAlign w:val="center"/>
          </w:tcPr>
          <w:p w14:paraId="3A85DA6A" w14:textId="77777777" w:rsidR="00657D84" w:rsidRDefault="00657D84" w:rsidP="009F312F">
            <w:pPr>
              <w:spacing w:line="240" w:lineRule="auto"/>
            </w:pPr>
          </w:p>
        </w:tc>
      </w:tr>
      <w:tr w:rsidR="00657D84" w14:paraId="50F6816F" w14:textId="77777777" w:rsidTr="00657D84">
        <w:trPr>
          <w:cantSplit/>
          <w:trHeight w:val="489"/>
        </w:trPr>
        <w:tc>
          <w:tcPr>
            <w:tcW w:w="3179" w:type="dxa"/>
            <w:gridSpan w:val="2"/>
            <w:vAlign w:val="center"/>
          </w:tcPr>
          <w:p w14:paraId="50BFF7C2" w14:textId="77777777" w:rsidR="00657D84" w:rsidRDefault="00657D84" w:rsidP="009F312F">
            <w:pPr>
              <w:spacing w:line="240" w:lineRule="auto"/>
            </w:pPr>
            <w:r>
              <w:t>Wendy Becker</w:t>
            </w:r>
          </w:p>
        </w:tc>
        <w:tc>
          <w:tcPr>
            <w:tcW w:w="3252" w:type="dxa"/>
            <w:gridSpan w:val="2"/>
            <w:vAlign w:val="center"/>
          </w:tcPr>
          <w:p w14:paraId="6F90A4EA" w14:textId="77777777" w:rsidR="00657D84" w:rsidRDefault="00657D84" w:rsidP="009F312F">
            <w:pPr>
              <w:spacing w:line="240" w:lineRule="auto"/>
            </w:pPr>
            <w:r>
              <w:t>Chair of BSW</w:t>
            </w:r>
          </w:p>
        </w:tc>
        <w:tc>
          <w:tcPr>
            <w:tcW w:w="3188" w:type="dxa"/>
            <w:vAlign w:val="center"/>
          </w:tcPr>
          <w:p w14:paraId="1B13A43D" w14:textId="77777777" w:rsidR="00657D84" w:rsidRDefault="00657D84" w:rsidP="009F312F">
            <w:pPr>
              <w:spacing w:line="240" w:lineRule="auto"/>
            </w:pPr>
          </w:p>
        </w:tc>
        <w:tc>
          <w:tcPr>
            <w:tcW w:w="1161" w:type="dxa"/>
            <w:vAlign w:val="center"/>
          </w:tcPr>
          <w:p w14:paraId="5B907C1E" w14:textId="77777777" w:rsidR="00657D84" w:rsidRDefault="00657D84" w:rsidP="009F312F">
            <w:pPr>
              <w:spacing w:line="240" w:lineRule="auto"/>
            </w:pPr>
          </w:p>
        </w:tc>
      </w:tr>
      <w:tr w:rsidR="00DA7161" w14:paraId="084F3335" w14:textId="77777777" w:rsidTr="00657D84">
        <w:trPr>
          <w:cantSplit/>
          <w:trHeight w:val="489"/>
        </w:trPr>
        <w:tc>
          <w:tcPr>
            <w:tcW w:w="3167" w:type="dxa"/>
            <w:vAlign w:val="center"/>
          </w:tcPr>
          <w:p w14:paraId="034FBC0B" w14:textId="77643AB6" w:rsidR="00DA7161" w:rsidRDefault="00DA7161" w:rsidP="0015571B">
            <w:pPr>
              <w:spacing w:line="240" w:lineRule="auto"/>
            </w:pPr>
            <w:r>
              <w:t xml:space="preserve">Jayshree </w:t>
            </w:r>
            <w:proofErr w:type="spellStart"/>
            <w:r>
              <w:t>Nimmagadda</w:t>
            </w:r>
            <w:proofErr w:type="spellEnd"/>
          </w:p>
        </w:tc>
        <w:tc>
          <w:tcPr>
            <w:tcW w:w="3254" w:type="dxa"/>
            <w:gridSpan w:val="2"/>
            <w:vAlign w:val="center"/>
          </w:tcPr>
          <w:p w14:paraId="24EDA3FA" w14:textId="45F25785" w:rsidR="00DA7161" w:rsidRDefault="00DA7161" w:rsidP="0015571B">
            <w:pPr>
              <w:spacing w:line="240" w:lineRule="auto"/>
            </w:pPr>
            <w:r>
              <w:t>Dean of School of Social Work</w:t>
            </w:r>
          </w:p>
        </w:tc>
        <w:tc>
          <w:tcPr>
            <w:tcW w:w="3198" w:type="dxa"/>
            <w:gridSpan w:val="2"/>
            <w:vAlign w:val="center"/>
          </w:tcPr>
          <w:p w14:paraId="4BB86738" w14:textId="77777777" w:rsidR="00DA7161" w:rsidRDefault="00DA7161" w:rsidP="0015571B">
            <w:pPr>
              <w:spacing w:line="240" w:lineRule="auto"/>
            </w:pPr>
          </w:p>
        </w:tc>
        <w:tc>
          <w:tcPr>
            <w:tcW w:w="1161" w:type="dxa"/>
            <w:vAlign w:val="center"/>
          </w:tcPr>
          <w:p w14:paraId="7C5C9F10" w14:textId="77777777" w:rsidR="00DA7161" w:rsidRDefault="00DA7161" w:rsidP="0015571B">
            <w:pPr>
              <w:spacing w:line="240" w:lineRule="auto"/>
            </w:pPr>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2" w:name="acknowledge"/>
        <w:bookmarkEnd w:id="32"/>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0"/>
        <w:gridCol w:w="3252"/>
        <w:gridCol w:w="3189"/>
        <w:gridCol w:w="1159"/>
      </w:tblGrid>
      <w:tr w:rsidR="00115A68" w:rsidRPr="00402602" w14:paraId="1CE68611" w14:textId="77777777" w:rsidTr="00531DF6">
        <w:trPr>
          <w:cantSplit/>
          <w:tblHeader/>
        </w:trPr>
        <w:tc>
          <w:tcPr>
            <w:tcW w:w="3180" w:type="dxa"/>
            <w:vAlign w:val="center"/>
          </w:tcPr>
          <w:p w14:paraId="3E1DDF49" w14:textId="77777777" w:rsidR="00115A68" w:rsidRPr="00A83A6C" w:rsidRDefault="00115A68" w:rsidP="0015571B">
            <w:pPr>
              <w:pStyle w:val="Heading5"/>
              <w:jc w:val="center"/>
            </w:pPr>
            <w:r w:rsidRPr="00A83A6C">
              <w:t>Name</w:t>
            </w:r>
          </w:p>
        </w:tc>
        <w:tc>
          <w:tcPr>
            <w:tcW w:w="3252" w:type="dxa"/>
            <w:vAlign w:val="center"/>
          </w:tcPr>
          <w:p w14:paraId="1B0BC45F" w14:textId="77777777" w:rsidR="00115A68" w:rsidRPr="00A83A6C" w:rsidRDefault="00115A68" w:rsidP="0015571B">
            <w:pPr>
              <w:pStyle w:val="Heading5"/>
              <w:jc w:val="center"/>
            </w:pPr>
            <w:r w:rsidRPr="00A83A6C">
              <w:t>Position/affiliation</w:t>
            </w:r>
          </w:p>
        </w:tc>
        <w:tc>
          <w:tcPr>
            <w:tcW w:w="3189" w:type="dxa"/>
            <w:vAlign w:val="center"/>
          </w:tcPr>
          <w:p w14:paraId="2D79239D" w14:textId="77777777" w:rsidR="00115A68" w:rsidRPr="00A87611" w:rsidRDefault="00481346"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3" w:name="Signature_2"/>
            <w:bookmarkEnd w:id="33"/>
          </w:p>
        </w:tc>
        <w:tc>
          <w:tcPr>
            <w:tcW w:w="1159" w:type="dxa"/>
            <w:vAlign w:val="center"/>
          </w:tcPr>
          <w:p w14:paraId="1B58133B" w14:textId="77777777" w:rsidR="00115A68" w:rsidRPr="00A83A6C" w:rsidRDefault="00115A68" w:rsidP="0015571B">
            <w:pPr>
              <w:pStyle w:val="Heading5"/>
              <w:jc w:val="center"/>
            </w:pPr>
            <w:r w:rsidRPr="00A83A6C">
              <w:t>Date</w:t>
            </w:r>
          </w:p>
        </w:tc>
      </w:tr>
      <w:tr w:rsidR="00657D84" w:rsidRPr="00402602" w14:paraId="56559600" w14:textId="77777777" w:rsidTr="00531DF6">
        <w:trPr>
          <w:cantSplit/>
          <w:tblHeader/>
        </w:trPr>
        <w:tc>
          <w:tcPr>
            <w:tcW w:w="3180" w:type="dxa"/>
            <w:vAlign w:val="center"/>
          </w:tcPr>
          <w:p w14:paraId="7CA54349" w14:textId="77777777" w:rsidR="00657D84" w:rsidRPr="00A83A6C" w:rsidRDefault="00657D84" w:rsidP="0015571B">
            <w:pPr>
              <w:pStyle w:val="Heading5"/>
              <w:jc w:val="center"/>
            </w:pPr>
          </w:p>
        </w:tc>
        <w:tc>
          <w:tcPr>
            <w:tcW w:w="3252" w:type="dxa"/>
            <w:vAlign w:val="center"/>
          </w:tcPr>
          <w:p w14:paraId="6B134878" w14:textId="77777777" w:rsidR="00657D84" w:rsidRPr="00A83A6C" w:rsidRDefault="00657D84" w:rsidP="0015571B">
            <w:pPr>
              <w:pStyle w:val="Heading5"/>
              <w:jc w:val="center"/>
            </w:pPr>
          </w:p>
        </w:tc>
        <w:tc>
          <w:tcPr>
            <w:tcW w:w="3189" w:type="dxa"/>
            <w:vAlign w:val="center"/>
          </w:tcPr>
          <w:p w14:paraId="5DD014A9" w14:textId="77777777" w:rsidR="00657D84" w:rsidRDefault="00657D84" w:rsidP="0015571B">
            <w:pPr>
              <w:pStyle w:val="Heading5"/>
              <w:jc w:val="center"/>
            </w:pPr>
          </w:p>
        </w:tc>
        <w:tc>
          <w:tcPr>
            <w:tcW w:w="1159" w:type="dxa"/>
            <w:vAlign w:val="center"/>
          </w:tcPr>
          <w:p w14:paraId="12B574FC" w14:textId="77777777" w:rsidR="00657D84" w:rsidRPr="00A83A6C" w:rsidRDefault="00657D84" w:rsidP="0015571B">
            <w:pPr>
              <w:pStyle w:val="Heading5"/>
              <w:jc w:val="center"/>
            </w:pP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711EA" w14:textId="77777777" w:rsidR="00481346" w:rsidRDefault="00481346" w:rsidP="00FA78CA">
      <w:pPr>
        <w:spacing w:line="240" w:lineRule="auto"/>
      </w:pPr>
      <w:r>
        <w:separator/>
      </w:r>
    </w:p>
  </w:endnote>
  <w:endnote w:type="continuationSeparator" w:id="0">
    <w:p w14:paraId="160180B6" w14:textId="77777777" w:rsidR="00481346" w:rsidRDefault="0048134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41935039"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7FCF">
      <w:rPr>
        <w:b/>
        <w:bCs/>
        <w:noProof/>
        <w:sz w:val="20"/>
      </w:rPr>
      <w:t>7</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7FCF">
      <w:rPr>
        <w:b/>
        <w:bCs/>
        <w:noProof/>
        <w:sz w:val="20"/>
      </w:rPr>
      <w:t>7</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05E2D" w14:textId="77777777" w:rsidR="00481346" w:rsidRDefault="00481346" w:rsidP="00FA78CA">
      <w:pPr>
        <w:spacing w:line="240" w:lineRule="auto"/>
      </w:pPr>
      <w:r>
        <w:separator/>
      </w:r>
    </w:p>
  </w:footnote>
  <w:footnote w:type="continuationSeparator" w:id="0">
    <w:p w14:paraId="7F661DCC" w14:textId="77777777" w:rsidR="00481346" w:rsidRDefault="00481346"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22B9FDB"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657D84">
      <w:rPr>
        <w:color w:val="4F6228"/>
      </w:rPr>
      <w:t>19-20-058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657D84">
      <w:rPr>
        <w:color w:val="4F6228"/>
      </w:rPr>
      <w:t>11/28/2019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D6D6EE3"/>
    <w:multiLevelType w:val="hybridMultilevel"/>
    <w:tmpl w:val="5E3A7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10"/>
  </w:num>
  <w:num w:numId="7">
    <w:abstractNumId w:val="1"/>
  </w:num>
  <w:num w:numId="8">
    <w:abstractNumId w:val="5"/>
  </w:num>
  <w:num w:numId="9">
    <w:abstractNumId w:val="7"/>
  </w:num>
  <w:num w:numId="10">
    <w:abstractNumId w:val="3"/>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0320"/>
    <w:rsid w:val="000301C7"/>
    <w:rsid w:val="0004554C"/>
    <w:rsid w:val="000556B3"/>
    <w:rsid w:val="00056862"/>
    <w:rsid w:val="000810FF"/>
    <w:rsid w:val="00095EC4"/>
    <w:rsid w:val="000A36CD"/>
    <w:rsid w:val="000D1497"/>
    <w:rsid w:val="000D21F2"/>
    <w:rsid w:val="000D445A"/>
    <w:rsid w:val="000E2CBA"/>
    <w:rsid w:val="001010FA"/>
    <w:rsid w:val="00101BA4"/>
    <w:rsid w:val="0010291E"/>
    <w:rsid w:val="001131FD"/>
    <w:rsid w:val="00115A68"/>
    <w:rsid w:val="0011690A"/>
    <w:rsid w:val="001169F7"/>
    <w:rsid w:val="00120C12"/>
    <w:rsid w:val="00127165"/>
    <w:rsid w:val="001278A4"/>
    <w:rsid w:val="0013176C"/>
    <w:rsid w:val="00131B87"/>
    <w:rsid w:val="001429AA"/>
    <w:rsid w:val="00154CD3"/>
    <w:rsid w:val="001634A5"/>
    <w:rsid w:val="00176C55"/>
    <w:rsid w:val="00181A4B"/>
    <w:rsid w:val="001A37FB"/>
    <w:rsid w:val="001A51ED"/>
    <w:rsid w:val="001A558F"/>
    <w:rsid w:val="001B2E3A"/>
    <w:rsid w:val="001F4568"/>
    <w:rsid w:val="0020058E"/>
    <w:rsid w:val="00214C8C"/>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E28AF"/>
    <w:rsid w:val="002F36B8"/>
    <w:rsid w:val="00310D95"/>
    <w:rsid w:val="003153C3"/>
    <w:rsid w:val="00345149"/>
    <w:rsid w:val="00355BD2"/>
    <w:rsid w:val="00376A8B"/>
    <w:rsid w:val="003A45F6"/>
    <w:rsid w:val="003B4A52"/>
    <w:rsid w:val="003C1A54"/>
    <w:rsid w:val="003C511E"/>
    <w:rsid w:val="003D7372"/>
    <w:rsid w:val="003F099C"/>
    <w:rsid w:val="003F4E82"/>
    <w:rsid w:val="00402602"/>
    <w:rsid w:val="004105B6"/>
    <w:rsid w:val="004254A0"/>
    <w:rsid w:val="004313E6"/>
    <w:rsid w:val="004403BD"/>
    <w:rsid w:val="00442EEA"/>
    <w:rsid w:val="004779B4"/>
    <w:rsid w:val="00480FAA"/>
    <w:rsid w:val="00481346"/>
    <w:rsid w:val="004E57C5"/>
    <w:rsid w:val="00517DB2"/>
    <w:rsid w:val="00531DF6"/>
    <w:rsid w:val="005473BC"/>
    <w:rsid w:val="005873E3"/>
    <w:rsid w:val="00592C7C"/>
    <w:rsid w:val="005B1049"/>
    <w:rsid w:val="005C23BD"/>
    <w:rsid w:val="005C3F83"/>
    <w:rsid w:val="005D389E"/>
    <w:rsid w:val="005F2A05"/>
    <w:rsid w:val="005F5A69"/>
    <w:rsid w:val="00636800"/>
    <w:rsid w:val="00657D84"/>
    <w:rsid w:val="00670869"/>
    <w:rsid w:val="006761E1"/>
    <w:rsid w:val="006970B0"/>
    <w:rsid w:val="006B20A9"/>
    <w:rsid w:val="006E3AF2"/>
    <w:rsid w:val="006E6680"/>
    <w:rsid w:val="006F64BB"/>
    <w:rsid w:val="006F7F90"/>
    <w:rsid w:val="00704CFF"/>
    <w:rsid w:val="00706745"/>
    <w:rsid w:val="007072F7"/>
    <w:rsid w:val="00714B57"/>
    <w:rsid w:val="00732E86"/>
    <w:rsid w:val="0074235B"/>
    <w:rsid w:val="00743AD2"/>
    <w:rsid w:val="007445F4"/>
    <w:rsid w:val="007554DE"/>
    <w:rsid w:val="00760EA6"/>
    <w:rsid w:val="00766256"/>
    <w:rsid w:val="00795D54"/>
    <w:rsid w:val="00796AF7"/>
    <w:rsid w:val="007970C3"/>
    <w:rsid w:val="007A360C"/>
    <w:rsid w:val="007A5702"/>
    <w:rsid w:val="007B10BE"/>
    <w:rsid w:val="008122C6"/>
    <w:rsid w:val="00840B1E"/>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D5B2A"/>
    <w:rsid w:val="008E0FCD"/>
    <w:rsid w:val="008E3EFA"/>
    <w:rsid w:val="008F08CC"/>
    <w:rsid w:val="008F175C"/>
    <w:rsid w:val="008F2064"/>
    <w:rsid w:val="00905E67"/>
    <w:rsid w:val="00913143"/>
    <w:rsid w:val="00936421"/>
    <w:rsid w:val="009458D2"/>
    <w:rsid w:val="00946B20"/>
    <w:rsid w:val="0098046D"/>
    <w:rsid w:val="00984B36"/>
    <w:rsid w:val="00990561"/>
    <w:rsid w:val="009A4E6F"/>
    <w:rsid w:val="009A58C1"/>
    <w:rsid w:val="009B4B02"/>
    <w:rsid w:val="009C1440"/>
    <w:rsid w:val="009F029C"/>
    <w:rsid w:val="009F2F3E"/>
    <w:rsid w:val="009F46D6"/>
    <w:rsid w:val="00A01611"/>
    <w:rsid w:val="00A04A92"/>
    <w:rsid w:val="00A06E22"/>
    <w:rsid w:val="00A11856"/>
    <w:rsid w:val="00A11DCD"/>
    <w:rsid w:val="00A1661D"/>
    <w:rsid w:val="00A32214"/>
    <w:rsid w:val="00A442D7"/>
    <w:rsid w:val="00A54783"/>
    <w:rsid w:val="00A5525B"/>
    <w:rsid w:val="00A56D5F"/>
    <w:rsid w:val="00A6264E"/>
    <w:rsid w:val="00A703CD"/>
    <w:rsid w:val="00A705F5"/>
    <w:rsid w:val="00A76B76"/>
    <w:rsid w:val="00A83A6C"/>
    <w:rsid w:val="00A85BAB"/>
    <w:rsid w:val="00A87611"/>
    <w:rsid w:val="00A94B5A"/>
    <w:rsid w:val="00A960DC"/>
    <w:rsid w:val="00AC3032"/>
    <w:rsid w:val="00AE36AE"/>
    <w:rsid w:val="00AE78C2"/>
    <w:rsid w:val="00AE7A3D"/>
    <w:rsid w:val="00B12BAB"/>
    <w:rsid w:val="00B20954"/>
    <w:rsid w:val="00B24AAC"/>
    <w:rsid w:val="00B26F16"/>
    <w:rsid w:val="00B27FCF"/>
    <w:rsid w:val="00B35315"/>
    <w:rsid w:val="00B4771F"/>
    <w:rsid w:val="00B4784B"/>
    <w:rsid w:val="00B51B79"/>
    <w:rsid w:val="00B605CE"/>
    <w:rsid w:val="00B649C4"/>
    <w:rsid w:val="00B737D0"/>
    <w:rsid w:val="00B77369"/>
    <w:rsid w:val="00B82B64"/>
    <w:rsid w:val="00B85F49"/>
    <w:rsid w:val="00B862BF"/>
    <w:rsid w:val="00B87B39"/>
    <w:rsid w:val="00BB11B9"/>
    <w:rsid w:val="00BC42B6"/>
    <w:rsid w:val="00BE33BA"/>
    <w:rsid w:val="00BF1795"/>
    <w:rsid w:val="00BF30C5"/>
    <w:rsid w:val="00C0654C"/>
    <w:rsid w:val="00C11283"/>
    <w:rsid w:val="00C25F9D"/>
    <w:rsid w:val="00C31E83"/>
    <w:rsid w:val="00C344AB"/>
    <w:rsid w:val="00C36E9E"/>
    <w:rsid w:val="00C518C1"/>
    <w:rsid w:val="00C53751"/>
    <w:rsid w:val="00C63F4F"/>
    <w:rsid w:val="00C94576"/>
    <w:rsid w:val="00C969FA"/>
    <w:rsid w:val="00C97577"/>
    <w:rsid w:val="00CA71A8"/>
    <w:rsid w:val="00CC03A7"/>
    <w:rsid w:val="00CC3E7A"/>
    <w:rsid w:val="00CD18DD"/>
    <w:rsid w:val="00CF0458"/>
    <w:rsid w:val="00D56C09"/>
    <w:rsid w:val="00D64DF4"/>
    <w:rsid w:val="00D65F02"/>
    <w:rsid w:val="00D75B84"/>
    <w:rsid w:val="00D75FF8"/>
    <w:rsid w:val="00D96C1E"/>
    <w:rsid w:val="00DA1CC6"/>
    <w:rsid w:val="00DA7161"/>
    <w:rsid w:val="00DA73A0"/>
    <w:rsid w:val="00DB23D4"/>
    <w:rsid w:val="00DB63D4"/>
    <w:rsid w:val="00DD69AE"/>
    <w:rsid w:val="00DE2B7A"/>
    <w:rsid w:val="00DF246B"/>
    <w:rsid w:val="00DF3EDD"/>
    <w:rsid w:val="00DF4FCD"/>
    <w:rsid w:val="00DF7C07"/>
    <w:rsid w:val="00E36AF7"/>
    <w:rsid w:val="00E4481C"/>
    <w:rsid w:val="00E4755D"/>
    <w:rsid w:val="00E641DE"/>
    <w:rsid w:val="00EA66BC"/>
    <w:rsid w:val="00EB33FD"/>
    <w:rsid w:val="00EC194E"/>
    <w:rsid w:val="00EC63A4"/>
    <w:rsid w:val="00EC7B24"/>
    <w:rsid w:val="00ED1712"/>
    <w:rsid w:val="00F12C82"/>
    <w:rsid w:val="00F15B95"/>
    <w:rsid w:val="00F3256C"/>
    <w:rsid w:val="00F32980"/>
    <w:rsid w:val="00F42F5D"/>
    <w:rsid w:val="00F62BE0"/>
    <w:rsid w:val="00F64260"/>
    <w:rsid w:val="00F871BA"/>
    <w:rsid w:val="00FA6359"/>
    <w:rsid w:val="00FA6998"/>
    <w:rsid w:val="00FA769F"/>
    <w:rsid w:val="00FA78CA"/>
    <w:rsid w:val="00FA7E45"/>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9FC4443B-37BC-4CDA-99D0-014DE045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paragraph" w:customStyle="1" w:styleId="sc-Total">
    <w:name w:val="sc-Total"/>
    <w:basedOn w:val="Normal"/>
    <w:qFormat/>
    <w:rsid w:val="00214C8C"/>
    <w:pPr>
      <w:keepNext/>
      <w:suppressAutoHyphens/>
      <w:spacing w:before="80" w:line="240" w:lineRule="auto"/>
    </w:pPr>
    <w:rPr>
      <w:rFonts w:ascii="Gill Sans MT" w:hAnsi="Gill Sans MT"/>
      <w:b/>
      <w:color w:val="000000" w:themeColor="text1"/>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rriculum@ric.edu" TargetMode="Externa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sabbotson/Documents/Curriculum/Program%20goal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67Z3ZXSPZZWZ-949-1129</_dlc_DocId>
    <_dlc_DocIdUrl xmlns="67887a43-7e4d-4c1c-91d7-15e417b1b8ab">
      <Url>https://w3.ric.edu/curriculum_committee/_layouts/15/DocIdRedir.aspx?ID=67Z3ZXSPZZWZ-949-1129</Url>
      <Description>67Z3ZXSPZZWZ-949-1129</Description>
    </_dlc_DocIdUrl>
  </documentManagement>
</p:properties>
</file>

<file path=customXml/itemProps1.xml><?xml version="1.0" encoding="utf-8"?>
<ds:datastoreItem xmlns:ds="http://schemas.openxmlformats.org/officeDocument/2006/customXml" ds:itemID="{C9A7D2BE-E385-433C-A39A-BCCE8E47F57D}"/>
</file>

<file path=customXml/itemProps2.xml><?xml version="1.0" encoding="utf-8"?>
<ds:datastoreItem xmlns:ds="http://schemas.openxmlformats.org/officeDocument/2006/customXml" ds:itemID="{251D977E-7255-483E-8850-945160602D3B}"/>
</file>

<file path=customXml/itemProps3.xml><?xml version="1.0" encoding="utf-8"?>
<ds:datastoreItem xmlns:ds="http://schemas.openxmlformats.org/officeDocument/2006/customXml" ds:itemID="{5D420072-C79B-4BE2-A420-7773A622CA6D}"/>
</file>

<file path=customXml/itemProps4.xml><?xml version="1.0" encoding="utf-8"?>
<ds:datastoreItem xmlns:ds="http://schemas.openxmlformats.org/officeDocument/2006/customXml" ds:itemID="{D9E9B583-0564-42E0-A57A-5ACAF82C73D4}"/>
</file>

<file path=docProps/app.xml><?xml version="1.0" encoding="utf-8"?>
<Properties xmlns="http://schemas.openxmlformats.org/officeDocument/2006/extended-properties" xmlns:vt="http://schemas.openxmlformats.org/officeDocument/2006/docPropsVTypes">
  <Template>Normal.dotm</Template>
  <TotalTime>24</TotalTime>
  <Pages>7</Pages>
  <Words>3591</Words>
  <Characters>20475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5</cp:revision>
  <cp:lastPrinted>2015-10-02T15:20:00Z</cp:lastPrinted>
  <dcterms:created xsi:type="dcterms:W3CDTF">2019-12-04T21:20:00Z</dcterms:created>
  <dcterms:modified xsi:type="dcterms:W3CDTF">2019-12-06T01:39:00Z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e588f1e8-f36d-4efd-8bae-7b5b89dfa943</vt:lpwstr>
  </property>
</Properties>
</file>