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23C63E7" w:rsidR="00F64260" w:rsidRPr="00A83A6C" w:rsidRDefault="005123F2" w:rsidP="00B77956">
            <w:pPr>
              <w:pStyle w:val="Heading5"/>
              <w:rPr>
                <w:b/>
              </w:rPr>
            </w:pPr>
            <w:bookmarkStart w:id="0" w:name="Proposal"/>
            <w:bookmarkEnd w:id="0"/>
            <w:r>
              <w:rPr>
                <w:b/>
              </w:rPr>
              <w:t>ART 33</w:t>
            </w:r>
            <w:r w:rsidR="00B77956">
              <w:rPr>
                <w:b/>
              </w:rPr>
              <w:t>6</w:t>
            </w:r>
            <w:r>
              <w:rPr>
                <w:b/>
              </w:rPr>
              <w:t xml:space="preserve">: STUDIES IN </w:t>
            </w:r>
            <w:r w:rsidR="00E91B10" w:rsidRPr="00E91B10">
              <w:rPr>
                <w:b/>
              </w:rPr>
              <w:t>Nineteenth-Century European Art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99307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D211F1E" w:rsidR="00F64260" w:rsidRPr="00A83A6C" w:rsidRDefault="005123F2" w:rsidP="00E91B10">
            <w:pPr>
              <w:pStyle w:val="Heading5"/>
              <w:rPr>
                <w:b/>
              </w:rPr>
            </w:pPr>
            <w:bookmarkStart w:id="3" w:name="Ifapplicable"/>
            <w:bookmarkEnd w:id="3"/>
            <w:r>
              <w:rPr>
                <w:b/>
              </w:rPr>
              <w:t>ART 33</w:t>
            </w:r>
            <w:r w:rsidR="00E91B10">
              <w:rPr>
                <w:b/>
              </w:rPr>
              <w:t>6</w:t>
            </w:r>
            <w:r>
              <w:rPr>
                <w:b/>
              </w:rPr>
              <w:t xml:space="preserve">: </w:t>
            </w:r>
            <w:r w:rsidR="00E91B10" w:rsidRPr="00E91B10">
              <w:rPr>
                <w:b/>
              </w:rPr>
              <w:t>Nineteenth-Century European Art</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44DABB5" w:rsidR="00F64260" w:rsidRPr="005F2A05" w:rsidRDefault="00F64260" w:rsidP="000A36CD">
            <w:pPr>
              <w:rPr>
                <w:b/>
              </w:rPr>
            </w:pPr>
            <w:bookmarkStart w:id="4" w:name="type"/>
            <w:r w:rsidRPr="005F2A05">
              <w:rPr>
                <w:b/>
              </w:rPr>
              <w:t xml:space="preserve">Course: </w:t>
            </w:r>
            <w:bookmarkEnd w:id="4"/>
            <w:r w:rsidRPr="00A87611">
              <w:rPr>
                <w:b/>
              </w:rPr>
              <w:t>revision</w:t>
            </w:r>
            <w:r w:rsidRPr="005F2A05">
              <w:rPr>
                <w:b/>
              </w:rPr>
              <w:t xml:space="preserve"> </w:t>
            </w:r>
            <w:bookmarkStart w:id="5" w:name="delet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2C118F8" w:rsidR="00F64260" w:rsidRPr="00B605CE" w:rsidRDefault="005123F2" w:rsidP="00B862BF">
            <w:pPr>
              <w:rPr>
                <w:b/>
              </w:rPr>
            </w:pPr>
            <w:bookmarkStart w:id="6" w:name="Originator"/>
            <w:bookmarkEnd w:id="6"/>
            <w:r>
              <w:rPr>
                <w:b/>
              </w:rPr>
              <w:t>Sara Picard</w:t>
            </w:r>
          </w:p>
        </w:tc>
        <w:tc>
          <w:tcPr>
            <w:tcW w:w="1210" w:type="pct"/>
          </w:tcPr>
          <w:p w14:paraId="788D9512" w14:textId="19B60691" w:rsidR="00F64260" w:rsidRPr="00946B20" w:rsidRDefault="0099307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E7B03F" w:rsidR="00F64260" w:rsidRPr="00B605CE" w:rsidRDefault="005123F2" w:rsidP="00B862BF">
            <w:pPr>
              <w:rPr>
                <w:b/>
              </w:rPr>
            </w:pPr>
            <w:bookmarkStart w:id="7" w:name="home_dept"/>
            <w:bookmarkEnd w:id="7"/>
            <w:r>
              <w:rPr>
                <w:b/>
              </w:rPr>
              <w:t>Art</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51FC529F" w14:textId="76B48C3A" w:rsidR="00F64260" w:rsidRDefault="005123F2">
            <w:pPr>
              <w:spacing w:line="240" w:lineRule="auto"/>
              <w:rPr>
                <w:b/>
              </w:rPr>
            </w:pPr>
            <w:r>
              <w:rPr>
                <w:b/>
              </w:rPr>
              <w:t xml:space="preserve">The new course name and description clarifies and better reflects the </w:t>
            </w:r>
            <w:r w:rsidRPr="00497928">
              <w:rPr>
                <w:b/>
              </w:rPr>
              <w:t>changing knowledge base of the field</w:t>
            </w:r>
            <w:r>
              <w:rPr>
                <w:b/>
              </w:rPr>
              <w:t xml:space="preserve"> which has become </w:t>
            </w:r>
            <w:r w:rsidR="009271C5">
              <w:rPr>
                <w:b/>
              </w:rPr>
              <w:t>diversifie</w:t>
            </w:r>
            <w:r w:rsidR="00917D8C">
              <w:rPr>
                <w:b/>
              </w:rPr>
              <w:t>d</w:t>
            </w:r>
            <w:r>
              <w:rPr>
                <w:b/>
              </w:rPr>
              <w:t xml:space="preserve">. Course content draws from a </w:t>
            </w:r>
            <w:r w:rsidR="00E91B10">
              <w:rPr>
                <w:b/>
              </w:rPr>
              <w:t xml:space="preserve">more inclusive approach to </w:t>
            </w:r>
            <w:r>
              <w:rPr>
                <w:b/>
              </w:rPr>
              <w:t>art</w:t>
            </w:r>
            <w:r w:rsidR="00E91B10">
              <w:rPr>
                <w:b/>
              </w:rPr>
              <w:t xml:space="preserve"> history</w:t>
            </w:r>
            <w:r>
              <w:rPr>
                <w:b/>
              </w:rPr>
              <w:t xml:space="preserve">. Topics can change from semester to semester to accommodate prescient themes and approaches, topical events, and underrepresented artists making room for </w:t>
            </w:r>
            <w:r w:rsidR="009271C5">
              <w:rPr>
                <w:b/>
              </w:rPr>
              <w:t xml:space="preserve">more variety </w:t>
            </w:r>
            <w:r>
              <w:rPr>
                <w:b/>
              </w:rPr>
              <w:t xml:space="preserve">and </w:t>
            </w:r>
            <w:r w:rsidR="009271C5">
              <w:rPr>
                <w:b/>
              </w:rPr>
              <w:t>moments of greater depth</w:t>
            </w:r>
            <w:r>
              <w:rPr>
                <w:b/>
              </w:rPr>
              <w:t xml:space="preserve">. Students </w:t>
            </w:r>
            <w:r w:rsidR="001B440F">
              <w:rPr>
                <w:b/>
              </w:rPr>
              <w:t xml:space="preserve">now </w:t>
            </w:r>
            <w:r>
              <w:rPr>
                <w:b/>
              </w:rPr>
              <w:t xml:space="preserve">will be able to </w:t>
            </w:r>
            <w:r w:rsidRPr="00D81E31">
              <w:rPr>
                <w:b/>
              </w:rPr>
              <w:t>repeat</w:t>
            </w:r>
            <w:r>
              <w:rPr>
                <w:b/>
              </w:rPr>
              <w:t xml:space="preserve"> the course</w:t>
            </w:r>
            <w:r w:rsidRPr="00D81E31">
              <w:rPr>
                <w:b/>
              </w:rPr>
              <w:t xml:space="preserve"> for credit with a change in topic.</w:t>
            </w:r>
            <w:r>
              <w:rPr>
                <w:b/>
              </w:rPr>
              <w:t xml:space="preserve"> </w:t>
            </w: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2CBFA5C" w:rsidR="00517DB2" w:rsidRPr="00B649C4" w:rsidRDefault="008C34BC" w:rsidP="00517DB2">
            <w:pPr>
              <w:rPr>
                <w:b/>
              </w:rPr>
            </w:pPr>
            <w:bookmarkStart w:id="9" w:name="student_impact"/>
            <w:bookmarkEnd w:id="9"/>
            <w:r>
              <w:rPr>
                <w:b/>
              </w:rPr>
              <w:t>This update will allow for a more accurate representation of the material that the course can cover and allow students to take the course again for further breadth.</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FBDF1D6" w:rsidR="00517DB2" w:rsidRPr="00B649C4" w:rsidRDefault="005123F2"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99307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65055DD" w:rsidR="008D52B7" w:rsidRPr="00C25F9D" w:rsidRDefault="005123F2" w:rsidP="008D52B7">
            <w:pPr>
              <w:rPr>
                <w:b/>
              </w:rPr>
            </w:pPr>
            <w:r>
              <w:rPr>
                <w:b/>
              </w:rPr>
              <w:t>None</w:t>
            </w:r>
            <w:r w:rsidR="008C34BC">
              <w:rPr>
                <w:b/>
              </w:rPr>
              <w:t>, current faculty will continue to teach it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99307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2FAF334" w:rsidR="008D52B7" w:rsidRPr="00C25F9D" w:rsidRDefault="005123F2" w:rsidP="008D52B7">
            <w:pPr>
              <w:rPr>
                <w:b/>
              </w:rPr>
            </w:pPr>
            <w:r>
              <w:rPr>
                <w:b/>
              </w:rPr>
              <w:t>None</w:t>
            </w:r>
            <w:r w:rsidR="008C34BC">
              <w:rPr>
                <w:b/>
              </w:rPr>
              <w:t>, acquisition requests will continue at current pace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99307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050DC4B" w:rsidR="008D52B7" w:rsidRPr="00C25F9D" w:rsidRDefault="005123F2" w:rsidP="008D52B7">
            <w:pPr>
              <w:rPr>
                <w:b/>
              </w:rPr>
            </w:pPr>
            <w:r>
              <w:rPr>
                <w:b/>
              </w:rPr>
              <w:t>None</w:t>
            </w:r>
            <w:r w:rsidR="008C34BC">
              <w:rPr>
                <w:b/>
              </w:rPr>
              <w:t>, current technology is adequate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99307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9201140" w:rsidR="008D52B7" w:rsidRPr="00C25F9D" w:rsidRDefault="005123F2" w:rsidP="008D52B7">
            <w:pPr>
              <w:rPr>
                <w:b/>
              </w:rPr>
            </w:pPr>
            <w:r>
              <w:rPr>
                <w:b/>
              </w:rPr>
              <w:t>None</w:t>
            </w:r>
            <w:r w:rsidR="008C34BC">
              <w:rPr>
                <w:b/>
              </w:rPr>
              <w:t>, current space is adequate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0231A30" w:rsidR="00F64260" w:rsidRPr="00B605CE" w:rsidRDefault="005123F2" w:rsidP="00B862BF">
            <w:pPr>
              <w:rPr>
                <w:b/>
              </w:rPr>
            </w:pPr>
            <w:bookmarkStart w:id="11" w:name="date_submitted"/>
            <w:bookmarkEnd w:id="11"/>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0C478E">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0C478E">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67837C3D" w:rsidR="00F64260" w:rsidRPr="009F029C" w:rsidRDefault="001B440F" w:rsidP="001429AA">
            <w:pPr>
              <w:spacing w:line="240" w:lineRule="auto"/>
              <w:rPr>
                <w:b/>
              </w:rPr>
            </w:pPr>
            <w:bookmarkStart w:id="13" w:name="cours_title"/>
            <w:bookmarkEnd w:id="13"/>
            <w:r>
              <w:rPr>
                <w:b/>
              </w:rPr>
              <w:t>ART 336</w:t>
            </w:r>
          </w:p>
        </w:tc>
        <w:tc>
          <w:tcPr>
            <w:tcW w:w="3840" w:type="dxa"/>
            <w:noWrap/>
          </w:tcPr>
          <w:p w14:paraId="6540064C" w14:textId="370B1A57" w:rsidR="00F64260" w:rsidRPr="009F029C" w:rsidRDefault="001B440F" w:rsidP="001429AA">
            <w:pPr>
              <w:spacing w:line="240" w:lineRule="auto"/>
              <w:rPr>
                <w:b/>
              </w:rPr>
            </w:pPr>
            <w:r>
              <w:rPr>
                <w:b/>
              </w:rPr>
              <w:t>ART 336</w:t>
            </w:r>
          </w:p>
        </w:tc>
      </w:tr>
      <w:tr w:rsidR="00F64260" w:rsidRPr="006E3AF2" w14:paraId="203B0C45" w14:textId="77777777" w:rsidTr="000C478E">
        <w:tc>
          <w:tcPr>
            <w:tcW w:w="310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0C478E">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15F0C31F" w:rsidR="00F64260" w:rsidRPr="009F029C" w:rsidRDefault="009271C5" w:rsidP="001429AA">
            <w:pPr>
              <w:spacing w:line="240" w:lineRule="auto"/>
              <w:rPr>
                <w:b/>
              </w:rPr>
            </w:pPr>
            <w:bookmarkStart w:id="14" w:name="title"/>
            <w:bookmarkEnd w:id="14"/>
            <w:r>
              <w:rPr>
                <w:b/>
              </w:rPr>
              <w:t>Nineteenth-Century European Art</w:t>
            </w:r>
          </w:p>
        </w:tc>
        <w:tc>
          <w:tcPr>
            <w:tcW w:w="3840" w:type="dxa"/>
            <w:noWrap/>
          </w:tcPr>
          <w:p w14:paraId="2B9DB727" w14:textId="4544571C" w:rsidR="00F64260" w:rsidRPr="009F029C" w:rsidRDefault="005123F2" w:rsidP="001429AA">
            <w:pPr>
              <w:spacing w:line="240" w:lineRule="auto"/>
              <w:rPr>
                <w:b/>
              </w:rPr>
            </w:pPr>
            <w:r>
              <w:rPr>
                <w:b/>
              </w:rPr>
              <w:t xml:space="preserve">Studies in </w:t>
            </w:r>
            <w:r w:rsidR="009271C5" w:rsidRPr="009271C5">
              <w:rPr>
                <w:b/>
              </w:rPr>
              <w:t>Nineteenth-Century European Art</w:t>
            </w:r>
          </w:p>
        </w:tc>
      </w:tr>
      <w:tr w:rsidR="00F64260" w:rsidRPr="006E3AF2" w14:paraId="76E4D772" w14:textId="77777777" w:rsidTr="000C478E">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4DC15DE9" w:rsidR="00F64260" w:rsidRPr="009F029C" w:rsidRDefault="009271C5" w:rsidP="009F029C">
            <w:pPr>
              <w:tabs>
                <w:tab w:val="left" w:pos="690"/>
              </w:tabs>
              <w:spacing w:line="240" w:lineRule="auto"/>
              <w:rPr>
                <w:b/>
              </w:rPr>
            </w:pPr>
            <w:bookmarkStart w:id="15" w:name="description"/>
            <w:bookmarkEnd w:id="15"/>
            <w:r w:rsidRPr="009271C5">
              <w:rPr>
                <w:rFonts w:ascii="Arial" w:hAnsi="Arial" w:cs="Arial"/>
                <w:color w:val="444444"/>
                <w:sz w:val="20"/>
                <w:szCs w:val="20"/>
                <w:shd w:val="clear" w:color="auto" w:fill="FFFFFF"/>
              </w:rPr>
              <w:t>Beginning with the manifestation of romanticism and neoclassicism in late eighteenth-century European art, this course then follows the nineteenth-century developments of realism, naturalism, and symbolism. Lecture.</w:t>
            </w:r>
          </w:p>
        </w:tc>
        <w:tc>
          <w:tcPr>
            <w:tcW w:w="3840" w:type="dxa"/>
            <w:noWrap/>
          </w:tcPr>
          <w:p w14:paraId="51C7BE85" w14:textId="3E46C610" w:rsidR="00F64260" w:rsidRPr="009F029C" w:rsidRDefault="009271C5" w:rsidP="00853A87">
            <w:pPr>
              <w:spacing w:line="240" w:lineRule="auto"/>
              <w:rPr>
                <w:b/>
              </w:rPr>
            </w:pPr>
            <w:r>
              <w:rPr>
                <w:rFonts w:ascii="Arial" w:hAnsi="Arial" w:cs="Arial"/>
                <w:color w:val="444444"/>
                <w:sz w:val="20"/>
                <w:szCs w:val="20"/>
                <w:shd w:val="clear" w:color="auto" w:fill="FFFFFF"/>
              </w:rPr>
              <w:t xml:space="preserve">Beginning with neoclassicism in late eighteenth-century Europe, </w:t>
            </w:r>
            <w:r w:rsidR="001B440F">
              <w:rPr>
                <w:rFonts w:ascii="Arial" w:hAnsi="Arial" w:cs="Arial"/>
                <w:color w:val="444444"/>
                <w:sz w:val="20"/>
                <w:szCs w:val="20"/>
                <w:shd w:val="clear" w:color="auto" w:fill="FFFFFF"/>
              </w:rPr>
              <w:t>students will</w:t>
            </w:r>
            <w:r>
              <w:rPr>
                <w:rFonts w:ascii="Arial" w:hAnsi="Arial" w:cs="Arial"/>
                <w:color w:val="444444"/>
                <w:sz w:val="20"/>
                <w:szCs w:val="20"/>
                <w:shd w:val="clear" w:color="auto" w:fill="FFFFFF"/>
              </w:rPr>
              <w:t xml:space="preserve"> follow </w:t>
            </w:r>
            <w:r w:rsidR="00853A87">
              <w:rPr>
                <w:rFonts w:ascii="Arial" w:hAnsi="Arial" w:cs="Arial"/>
                <w:color w:val="444444"/>
                <w:sz w:val="20"/>
                <w:szCs w:val="20"/>
                <w:shd w:val="clear" w:color="auto" w:fill="FFFFFF"/>
              </w:rPr>
              <w:t xml:space="preserve">trajectories of academic and avant-garde </w:t>
            </w:r>
            <w:r>
              <w:rPr>
                <w:rFonts w:ascii="Arial" w:hAnsi="Arial" w:cs="Arial"/>
                <w:color w:val="444444"/>
                <w:sz w:val="20"/>
                <w:szCs w:val="20"/>
                <w:shd w:val="clear" w:color="auto" w:fill="FFFFFF"/>
              </w:rPr>
              <w:t xml:space="preserve">nineteenth-century </w:t>
            </w:r>
            <w:r w:rsidR="00853A87">
              <w:rPr>
                <w:rFonts w:ascii="Arial" w:hAnsi="Arial" w:cs="Arial"/>
                <w:color w:val="444444"/>
                <w:sz w:val="20"/>
                <w:szCs w:val="20"/>
                <w:shd w:val="clear" w:color="auto" w:fill="FFFFFF"/>
              </w:rPr>
              <w:t>art</w:t>
            </w:r>
            <w:r>
              <w:rPr>
                <w:rFonts w:ascii="Arial" w:hAnsi="Arial" w:cs="Arial"/>
                <w:color w:val="444444"/>
                <w:sz w:val="20"/>
                <w:szCs w:val="20"/>
                <w:shd w:val="clear" w:color="auto" w:fill="FFFFFF"/>
              </w:rPr>
              <w:t xml:space="preserve">. </w:t>
            </w:r>
            <w:r w:rsidR="005123F2" w:rsidRPr="00AC2B12">
              <w:rPr>
                <w:rFonts w:ascii="Arial" w:hAnsi="Arial" w:cs="Arial"/>
                <w:color w:val="444444"/>
                <w:sz w:val="20"/>
                <w:szCs w:val="20"/>
                <w:shd w:val="clear" w:color="auto" w:fill="FFFFFF"/>
              </w:rPr>
              <w:t>The course may be repeated fo</w:t>
            </w:r>
            <w:r w:rsidR="005123F2">
              <w:rPr>
                <w:rFonts w:ascii="Arial" w:hAnsi="Arial" w:cs="Arial"/>
                <w:color w:val="444444"/>
                <w:sz w:val="20"/>
                <w:szCs w:val="20"/>
                <w:shd w:val="clear" w:color="auto" w:fill="FFFFFF"/>
              </w:rPr>
              <w:t>r credit with a change in topic</w:t>
            </w:r>
            <w:r w:rsidR="005123F2" w:rsidRPr="002E7491">
              <w:rPr>
                <w:rFonts w:ascii="Arial" w:hAnsi="Arial" w:cs="Arial"/>
                <w:color w:val="444444"/>
                <w:sz w:val="20"/>
                <w:szCs w:val="20"/>
                <w:shd w:val="clear" w:color="auto" w:fill="FFFFFF"/>
              </w:rPr>
              <w:t>.</w:t>
            </w:r>
          </w:p>
        </w:tc>
      </w:tr>
      <w:tr w:rsidR="00F64260" w:rsidRPr="006E3AF2" w14:paraId="6B87DAE3" w14:textId="77777777" w:rsidTr="000C478E">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6" w:name="prereqs"/>
            <w:bookmarkEnd w:id="16"/>
          </w:p>
        </w:tc>
        <w:tc>
          <w:tcPr>
            <w:tcW w:w="3840" w:type="dxa"/>
            <w:noWrap/>
          </w:tcPr>
          <w:p w14:paraId="4DA91B44" w14:textId="77777777" w:rsidR="00F64260" w:rsidRPr="009F029C" w:rsidRDefault="00F64260" w:rsidP="001429AA">
            <w:pPr>
              <w:spacing w:line="240" w:lineRule="auto"/>
              <w:rPr>
                <w:b/>
              </w:rPr>
            </w:pPr>
          </w:p>
        </w:tc>
      </w:tr>
      <w:tr w:rsidR="00F64260" w:rsidRPr="006E3AF2" w14:paraId="5AE5E526" w14:textId="77777777" w:rsidTr="000C478E">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20E79858" w:rsidR="00F64260" w:rsidRPr="009F029C" w:rsidRDefault="00F64260" w:rsidP="001B440F">
            <w:pPr>
              <w:spacing w:line="240" w:lineRule="auto"/>
              <w:rPr>
                <w:b/>
                <w:sz w:val="20"/>
              </w:rPr>
            </w:pPr>
          </w:p>
        </w:tc>
        <w:tc>
          <w:tcPr>
            <w:tcW w:w="3840" w:type="dxa"/>
            <w:noWrap/>
          </w:tcPr>
          <w:p w14:paraId="6C8D2300" w14:textId="3C2925C9" w:rsidR="005123F2" w:rsidRPr="009F029C" w:rsidRDefault="00F64260" w:rsidP="005123F2">
            <w:pPr>
              <w:spacing w:line="240" w:lineRule="auto"/>
              <w:rPr>
                <w:b/>
                <w:sz w:val="20"/>
              </w:rPr>
            </w:pPr>
            <w:r w:rsidRPr="009F029C">
              <w:rPr>
                <w:b/>
                <w:sz w:val="20"/>
              </w:rPr>
              <w:t xml:space="preserve">  </w:t>
            </w:r>
          </w:p>
          <w:p w14:paraId="67D1137F" w14:textId="35F8742D" w:rsidR="00F64260" w:rsidRPr="009F029C" w:rsidRDefault="00F64260" w:rsidP="00C25F9D">
            <w:pPr>
              <w:spacing w:line="240" w:lineRule="auto"/>
              <w:rPr>
                <w:b/>
                <w:sz w:val="20"/>
              </w:rPr>
            </w:pPr>
          </w:p>
        </w:tc>
      </w:tr>
      <w:tr w:rsidR="00F64260" w:rsidRPr="006E3AF2" w14:paraId="12464B8B" w14:textId="77777777" w:rsidTr="000C478E">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7" w:name="contacthours"/>
            <w:bookmarkEnd w:id="17"/>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0C478E">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8" w:name="credits"/>
            <w:bookmarkEnd w:id="18"/>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0C478E">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000C478E">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09926B70" w:rsidR="00F64260" w:rsidRPr="009F029C" w:rsidRDefault="00F64260" w:rsidP="005123F2">
            <w:pPr>
              <w:spacing w:line="240" w:lineRule="auto"/>
              <w:rPr>
                <w:b/>
                <w:sz w:val="20"/>
              </w:rPr>
            </w:pPr>
          </w:p>
        </w:tc>
        <w:tc>
          <w:tcPr>
            <w:tcW w:w="3840" w:type="dxa"/>
            <w:noWrap/>
          </w:tcPr>
          <w:p w14:paraId="2CF717EE" w14:textId="51305D56" w:rsidR="00F64260" w:rsidRPr="009F029C" w:rsidRDefault="00F64260" w:rsidP="005123F2">
            <w:pPr>
              <w:spacing w:line="240" w:lineRule="auto"/>
              <w:rPr>
                <w:b/>
                <w:sz w:val="20"/>
              </w:rPr>
            </w:pPr>
          </w:p>
        </w:tc>
      </w:tr>
      <w:tr w:rsidR="00F64260" w:rsidRPr="006E3AF2" w14:paraId="66DAB74D" w14:textId="77777777" w:rsidTr="000C478E">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47B86F4B" w:rsidR="00F64260" w:rsidRPr="009F029C" w:rsidRDefault="00F64260" w:rsidP="005123F2">
            <w:pPr>
              <w:spacing w:line="240" w:lineRule="auto"/>
              <w:rPr>
                <w:b/>
                <w:sz w:val="20"/>
              </w:rPr>
            </w:pPr>
            <w:bookmarkStart w:id="20" w:name="instr_methods"/>
            <w:bookmarkEnd w:id="20"/>
            <w:r w:rsidRPr="009F029C">
              <w:rPr>
                <w:b/>
                <w:sz w:val="20"/>
              </w:rPr>
              <w:t xml:space="preserve"> </w:t>
            </w:r>
          </w:p>
        </w:tc>
        <w:tc>
          <w:tcPr>
            <w:tcW w:w="3840" w:type="dxa"/>
            <w:noWrap/>
          </w:tcPr>
          <w:p w14:paraId="27D66483" w14:textId="4779882E" w:rsidR="00F64260" w:rsidRPr="009F029C" w:rsidRDefault="00F64260" w:rsidP="005123F2">
            <w:pPr>
              <w:spacing w:line="240" w:lineRule="auto"/>
              <w:rPr>
                <w:b/>
                <w:sz w:val="20"/>
              </w:rPr>
            </w:pPr>
            <w:r w:rsidRPr="009F029C">
              <w:rPr>
                <w:b/>
                <w:sz w:val="20"/>
              </w:rPr>
              <w:t xml:space="preserve">  </w:t>
            </w:r>
          </w:p>
        </w:tc>
      </w:tr>
      <w:tr w:rsidR="00F64260" w:rsidRPr="006E3AF2" w14:paraId="40E0E48F" w14:textId="77777777" w:rsidTr="000C478E">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1095417A" w:rsidR="00F64260" w:rsidRPr="009F029C" w:rsidRDefault="00F64260" w:rsidP="00CD2B03">
            <w:pPr>
              <w:spacing w:line="240" w:lineRule="auto"/>
              <w:rPr>
                <w:b/>
                <w:sz w:val="20"/>
              </w:rPr>
            </w:pPr>
            <w:bookmarkStart w:id="21" w:name="required"/>
            <w:bookmarkEnd w:id="21"/>
          </w:p>
        </w:tc>
        <w:tc>
          <w:tcPr>
            <w:tcW w:w="3840" w:type="dxa"/>
            <w:noWrap/>
          </w:tcPr>
          <w:p w14:paraId="442E5788" w14:textId="119B5EEC" w:rsidR="00CD2B03" w:rsidRPr="009F029C" w:rsidRDefault="00CD2B03" w:rsidP="00CD2B03">
            <w:pPr>
              <w:spacing w:line="240" w:lineRule="auto"/>
              <w:rPr>
                <w:b/>
                <w:sz w:val="20"/>
              </w:rPr>
            </w:pPr>
          </w:p>
        </w:tc>
      </w:tr>
      <w:tr w:rsidR="00F64260" w:rsidRPr="006E3AF2" w14:paraId="4F77409C" w14:textId="77777777" w:rsidTr="000C478E">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1609846A" w:rsidR="00F64260" w:rsidRPr="009F029C" w:rsidRDefault="00F3256C" w:rsidP="001429AA">
            <w:pPr>
              <w:spacing w:line="240" w:lineRule="auto"/>
              <w:rPr>
                <w:b/>
              </w:rPr>
            </w:pPr>
            <w:r>
              <w:rPr>
                <w:b/>
              </w:rPr>
              <w:t>NO</w:t>
            </w:r>
          </w:p>
        </w:tc>
        <w:tc>
          <w:tcPr>
            <w:tcW w:w="3840" w:type="dxa"/>
            <w:noWrap/>
          </w:tcPr>
          <w:p w14:paraId="41CF798F" w14:textId="062996BA" w:rsidR="00F64260" w:rsidRPr="009F029C" w:rsidRDefault="00F3256C" w:rsidP="001429AA">
            <w:pPr>
              <w:spacing w:line="240" w:lineRule="auto"/>
              <w:rPr>
                <w:b/>
              </w:rPr>
            </w:pPr>
            <w:r>
              <w:rPr>
                <w:b/>
              </w:rPr>
              <w:t>NO</w:t>
            </w:r>
          </w:p>
        </w:tc>
      </w:tr>
      <w:tr w:rsidR="00F64260" w:rsidRPr="006E3AF2" w14:paraId="3A6D1D6E" w14:textId="77777777" w:rsidTr="000C478E">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840" w:type="dxa"/>
            <w:noWrap/>
          </w:tcPr>
          <w:p w14:paraId="63CA6D6B" w14:textId="0488043D" w:rsidR="00984B36" w:rsidRDefault="00F3256C" w:rsidP="001A51ED">
            <w:pPr>
              <w:rPr>
                <w:rFonts w:ascii="MS Mincho" w:eastAsia="MS Mincho" w:hAnsi="MS Mincho" w:cs="MS Mincho"/>
                <w:b/>
                <w:sz w:val="20"/>
              </w:rPr>
            </w:pPr>
            <w:bookmarkStart w:id="22" w:name="ge"/>
            <w:bookmarkEnd w:id="22"/>
            <w:proofErr w:type="gramStart"/>
            <w:r>
              <w:rPr>
                <w:b/>
              </w:rPr>
              <w:t>NO</w:t>
            </w:r>
            <w:r w:rsidR="00984B36">
              <w:rPr>
                <w:b/>
              </w:rPr>
              <w:t xml:space="preserve">  </w:t>
            </w:r>
            <w:r w:rsidR="00984B36" w:rsidRPr="009F029C">
              <w:rPr>
                <w:rFonts w:ascii="MS Mincho" w:eastAsia="MS Mincho" w:hAnsi="MS Mincho" w:cs="MS Mincho"/>
                <w:b/>
                <w:sz w:val="20"/>
              </w:rPr>
              <w:t>|</w:t>
            </w:r>
            <w:proofErr w:type="gramEnd"/>
          </w:p>
          <w:p w14:paraId="071181E7" w14:textId="71174125" w:rsidR="00F64260" w:rsidRPr="009F029C" w:rsidRDefault="00F64260" w:rsidP="001A51ED">
            <w:pPr>
              <w:rPr>
                <w:b/>
                <w:sz w:val="20"/>
              </w:rPr>
            </w:pPr>
          </w:p>
        </w:tc>
        <w:tc>
          <w:tcPr>
            <w:tcW w:w="3840" w:type="dxa"/>
            <w:noWrap/>
          </w:tcPr>
          <w:p w14:paraId="411B25D5" w14:textId="242B0FFF"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23115E50" w:rsidR="00F64260" w:rsidRPr="009F029C" w:rsidRDefault="00F64260" w:rsidP="001429AA">
            <w:pPr>
              <w:spacing w:line="240" w:lineRule="auto"/>
              <w:rPr>
                <w:b/>
                <w:sz w:val="20"/>
              </w:rPr>
            </w:pPr>
          </w:p>
        </w:tc>
      </w:tr>
      <w:tr w:rsidR="00F64260" w:rsidRPr="006E3AF2" w14:paraId="7309520B" w14:textId="77777777" w:rsidTr="000C478E">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12285427" w:rsidR="00F64260" w:rsidRPr="009F029C" w:rsidRDefault="00F64260" w:rsidP="001B440F">
            <w:pPr>
              <w:spacing w:line="240" w:lineRule="auto"/>
              <w:rPr>
                <w:b/>
                <w:sz w:val="20"/>
              </w:rPr>
            </w:pPr>
            <w:bookmarkStart w:id="23" w:name="performance"/>
            <w:bookmarkEnd w:id="23"/>
          </w:p>
        </w:tc>
        <w:tc>
          <w:tcPr>
            <w:tcW w:w="3840" w:type="dxa"/>
            <w:noWrap/>
          </w:tcPr>
          <w:p w14:paraId="33AC4615" w14:textId="1C6A21AF" w:rsidR="00F64260" w:rsidRPr="009F029C" w:rsidRDefault="00F64260" w:rsidP="00FA769F">
            <w:pPr>
              <w:spacing w:line="240" w:lineRule="auto"/>
              <w:rPr>
                <w:b/>
                <w:sz w:val="20"/>
              </w:rPr>
            </w:pPr>
          </w:p>
        </w:tc>
      </w:tr>
      <w:tr w:rsidR="00F64260" w:rsidRPr="006E3AF2" w14:paraId="071E0CC5" w14:textId="77777777" w:rsidTr="000C478E">
        <w:tc>
          <w:tcPr>
            <w:tcW w:w="3100"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0C478E">
        <w:tc>
          <w:tcPr>
            <w:tcW w:w="3100"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r w:rsidR="000C478E" w14:paraId="7AA75F93" w14:textId="77777777" w:rsidTr="00C1742C">
        <w:trPr>
          <w:tblHeader/>
        </w:trPr>
        <w:tc>
          <w:tcPr>
            <w:tcW w:w="10780" w:type="dxa"/>
            <w:gridSpan w:val="3"/>
          </w:tcPr>
          <w:p w14:paraId="7E50BE74" w14:textId="77777777" w:rsidR="000C478E" w:rsidRDefault="000C478E" w:rsidP="00C1742C">
            <w:pPr>
              <w:keepNext/>
              <w:spacing w:line="240" w:lineRule="auto"/>
            </w:pPr>
            <w:r>
              <w:t xml:space="preserve">B.20.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xml:space="preserve">: </w:t>
            </w:r>
            <w:r w:rsidRPr="00F42F5D">
              <w:rPr>
                <w:rStyle w:val="Hyperlink"/>
                <w:b/>
                <w:color w:val="FF0000"/>
              </w:rPr>
              <w:t xml:space="preserve">DO NOT INSERT WHOLE SYLLABUS, JUST A TWO-TIER </w:t>
            </w:r>
            <w:r>
              <w:rPr>
                <w:rStyle w:val="Hyperlink"/>
                <w:b/>
                <w:color w:val="FF0000"/>
              </w:rPr>
              <w:t xml:space="preserve">TOPIC </w:t>
            </w:r>
            <w:r w:rsidRPr="00F42F5D">
              <w:rPr>
                <w:rStyle w:val="Hyperlink"/>
                <w:b/>
                <w:color w:val="FF0000"/>
              </w:rPr>
              <w:t>OUTLINE</w:t>
            </w:r>
            <w:r>
              <w:rPr>
                <w:rStyle w:val="Hyperlink"/>
                <w:b/>
                <w:color w:val="FF0000"/>
              </w:rPr>
              <w:t>. Proposals that ignore this request will be returned for revision.</w:t>
            </w:r>
          </w:p>
        </w:tc>
      </w:tr>
      <w:tr w:rsidR="000C478E" w14:paraId="002E1141" w14:textId="77777777" w:rsidTr="00C1742C">
        <w:tc>
          <w:tcPr>
            <w:tcW w:w="10780" w:type="dxa"/>
            <w:gridSpan w:val="3"/>
          </w:tcPr>
          <w:p w14:paraId="020A78ED" w14:textId="77777777" w:rsidR="000C478E" w:rsidRDefault="000C478E" w:rsidP="00C1742C">
            <w:pPr>
              <w:pStyle w:val="NormalWeb"/>
              <w:spacing w:before="0" w:beforeAutospacing="0" w:after="0" w:afterAutospacing="0"/>
            </w:pPr>
            <w:bookmarkStart w:id="25" w:name="outline"/>
            <w:bookmarkEnd w:id="25"/>
            <w:r>
              <w:t xml:space="preserve">Examples of some different versions might be: </w:t>
            </w:r>
          </w:p>
          <w:p w14:paraId="01C2D2A7" w14:textId="77777777" w:rsidR="000C478E" w:rsidRPr="000C478E" w:rsidRDefault="000C478E" w:rsidP="000C478E">
            <w:pPr>
              <w:pStyle w:val="NormalWeb"/>
              <w:spacing w:before="0" w:beforeAutospacing="0" w:after="0" w:afterAutospacing="0"/>
              <w:rPr>
                <w:rFonts w:ascii="Calibri" w:hAnsi="Calibri" w:cs="Calibri"/>
                <w:b/>
                <w:color w:val="000000"/>
              </w:rPr>
            </w:pPr>
            <w:r w:rsidRPr="000C478E">
              <w:rPr>
                <w:rFonts w:ascii="Arial" w:hAnsi="Arial" w:cs="Arial"/>
                <w:b/>
                <w:color w:val="000000"/>
                <w:sz w:val="22"/>
                <w:szCs w:val="22"/>
              </w:rPr>
              <w:t>The Rise of the Avant Garde in France</w:t>
            </w:r>
          </w:p>
          <w:p w14:paraId="2A17FA2E" w14:textId="77777777" w:rsidR="000C478E" w:rsidRDefault="000C478E" w:rsidP="000C478E">
            <w:pPr>
              <w:pStyle w:val="NormalWeb"/>
              <w:numPr>
                <w:ilvl w:val="0"/>
                <w:numId w:val="17"/>
              </w:numPr>
              <w:spacing w:before="0" w:beforeAutospacing="0" w:after="0" w:afterAutospacing="0"/>
              <w:rPr>
                <w:rFonts w:ascii="Arial" w:hAnsi="Arial" w:cs="Arial"/>
                <w:color w:val="000000"/>
                <w:sz w:val="22"/>
                <w:szCs w:val="22"/>
              </w:rPr>
            </w:pPr>
            <w:r>
              <w:rPr>
                <w:rFonts w:ascii="Arial" w:hAnsi="Arial" w:cs="Arial"/>
                <w:color w:val="000000"/>
                <w:sz w:val="22"/>
                <w:szCs w:val="22"/>
              </w:rPr>
              <w:t>Academic art</w:t>
            </w:r>
          </w:p>
          <w:p w14:paraId="74E58250" w14:textId="77777777" w:rsidR="000C478E" w:rsidRDefault="000C478E" w:rsidP="000C478E">
            <w:pPr>
              <w:pStyle w:val="NormalWeb"/>
              <w:numPr>
                <w:ilvl w:val="0"/>
                <w:numId w:val="17"/>
              </w:numPr>
              <w:spacing w:before="0" w:beforeAutospacing="0" w:after="0" w:afterAutospacing="0"/>
              <w:rPr>
                <w:rFonts w:ascii="Arial" w:hAnsi="Arial" w:cs="Arial"/>
                <w:color w:val="000000"/>
                <w:sz w:val="22"/>
                <w:szCs w:val="22"/>
              </w:rPr>
            </w:pPr>
            <w:r>
              <w:rPr>
                <w:rFonts w:ascii="Arial" w:hAnsi="Arial" w:cs="Arial"/>
                <w:color w:val="000000"/>
                <w:sz w:val="22"/>
                <w:szCs w:val="22"/>
              </w:rPr>
              <w:t>Realism: Courbet, Millet, Manet, Bonheur, Gonzalez</w:t>
            </w:r>
          </w:p>
          <w:p w14:paraId="23C53279" w14:textId="77777777" w:rsidR="000C478E" w:rsidRDefault="000C478E" w:rsidP="000C478E">
            <w:pPr>
              <w:pStyle w:val="NormalWeb"/>
              <w:numPr>
                <w:ilvl w:val="0"/>
                <w:numId w:val="17"/>
              </w:numPr>
              <w:spacing w:before="0" w:beforeAutospacing="0" w:after="0" w:afterAutospacing="0"/>
              <w:rPr>
                <w:rFonts w:ascii="Arial" w:hAnsi="Arial" w:cs="Arial"/>
                <w:color w:val="000000"/>
                <w:sz w:val="22"/>
                <w:szCs w:val="22"/>
              </w:rPr>
            </w:pPr>
            <w:r>
              <w:rPr>
                <w:rFonts w:ascii="Arial" w:hAnsi="Arial" w:cs="Arial"/>
                <w:color w:val="000000"/>
                <w:sz w:val="22"/>
                <w:szCs w:val="22"/>
              </w:rPr>
              <w:t>Impressionism: Monet, Renoir, Degas, Caillebotte, Morisot, Cassatt</w:t>
            </w:r>
          </w:p>
          <w:p w14:paraId="5F2E05BA" w14:textId="77777777" w:rsidR="000C478E" w:rsidRDefault="000C478E" w:rsidP="000C478E">
            <w:pPr>
              <w:pStyle w:val="NormalWeb"/>
              <w:numPr>
                <w:ilvl w:val="0"/>
                <w:numId w:val="17"/>
              </w:numPr>
              <w:spacing w:before="0" w:beforeAutospacing="0" w:after="0" w:afterAutospacing="0"/>
              <w:rPr>
                <w:rFonts w:ascii="Arial" w:hAnsi="Arial" w:cs="Arial"/>
                <w:color w:val="000000"/>
                <w:sz w:val="22"/>
                <w:szCs w:val="22"/>
              </w:rPr>
            </w:pPr>
            <w:r>
              <w:rPr>
                <w:rFonts w:ascii="Arial" w:hAnsi="Arial" w:cs="Arial"/>
                <w:color w:val="000000"/>
                <w:sz w:val="22"/>
                <w:szCs w:val="22"/>
              </w:rPr>
              <w:t>Post-Impressionism: Seurat, Van Gogh, Gauguin, Cezanne, Toulouse-</w:t>
            </w:r>
            <w:proofErr w:type="spellStart"/>
            <w:r>
              <w:rPr>
                <w:rFonts w:ascii="Arial" w:hAnsi="Arial" w:cs="Arial"/>
                <w:color w:val="000000"/>
                <w:sz w:val="22"/>
                <w:szCs w:val="22"/>
              </w:rPr>
              <w:t>Latrec</w:t>
            </w:r>
            <w:proofErr w:type="spellEnd"/>
          </w:p>
          <w:p w14:paraId="7472CCD7" w14:textId="4F088808" w:rsidR="000C478E" w:rsidRPr="000C478E" w:rsidRDefault="000C478E" w:rsidP="000C478E">
            <w:pPr>
              <w:pStyle w:val="NormalWeb"/>
              <w:numPr>
                <w:ilvl w:val="0"/>
                <w:numId w:val="17"/>
              </w:numPr>
              <w:spacing w:before="0" w:beforeAutospacing="0" w:after="0" w:afterAutospacing="0"/>
              <w:rPr>
                <w:rFonts w:ascii="Arial" w:hAnsi="Arial" w:cs="Arial"/>
                <w:color w:val="000000"/>
                <w:sz w:val="22"/>
                <w:szCs w:val="22"/>
              </w:rPr>
            </w:pPr>
            <w:r>
              <w:rPr>
                <w:rFonts w:ascii="Arial" w:hAnsi="Arial" w:cs="Arial"/>
                <w:color w:val="000000"/>
                <w:sz w:val="22"/>
                <w:szCs w:val="22"/>
              </w:rPr>
              <w:t>Sculpture: Carpeaux, Rodin, Claudel</w:t>
            </w:r>
          </w:p>
          <w:p w14:paraId="732941CC" w14:textId="77777777" w:rsidR="000C478E" w:rsidRPr="000C478E" w:rsidRDefault="000C478E" w:rsidP="000C478E">
            <w:pPr>
              <w:pStyle w:val="NormalWeb"/>
              <w:spacing w:before="0" w:beforeAutospacing="0" w:after="0" w:afterAutospacing="0"/>
              <w:rPr>
                <w:rFonts w:ascii="Calibri" w:hAnsi="Calibri" w:cs="Calibri"/>
                <w:b/>
                <w:color w:val="000000"/>
              </w:rPr>
            </w:pPr>
            <w:r w:rsidRPr="000C478E">
              <w:rPr>
                <w:rFonts w:ascii="Arial" w:hAnsi="Arial" w:cs="Arial"/>
                <w:b/>
                <w:color w:val="000000"/>
                <w:sz w:val="22"/>
                <w:szCs w:val="22"/>
              </w:rPr>
              <w:t>Nudity</w:t>
            </w:r>
          </w:p>
          <w:p w14:paraId="10CE2C51" w14:textId="77777777" w:rsidR="000C478E" w:rsidRDefault="000C478E" w:rsidP="000C478E">
            <w:pPr>
              <w:pStyle w:val="NormalWeb"/>
              <w:shd w:val="clear" w:color="auto" w:fill="FFFFFF"/>
              <w:spacing w:before="0" w:beforeAutospacing="0" w:after="0" w:afterAutospacing="0"/>
              <w:ind w:left="360" w:hanging="360"/>
              <w:rPr>
                <w:rFonts w:ascii="Calibri" w:hAnsi="Calibri" w:cs="Calibri"/>
                <w:color w:val="000000"/>
              </w:rPr>
            </w:pPr>
            <w:r>
              <w:rPr>
                <w:rFonts w:ascii="Arial" w:hAnsi="Arial" w:cs="Arial"/>
                <w:color w:val="000000"/>
                <w:sz w:val="22"/>
                <w:szCs w:val="22"/>
              </w:rPr>
              <w:t>1.</w:t>
            </w:r>
            <w:r>
              <w:rPr>
                <w:rStyle w:val="apple-converted-space"/>
                <w:color w:val="000000"/>
                <w:sz w:val="14"/>
                <w:szCs w:val="14"/>
              </w:rPr>
              <w:t> </w:t>
            </w:r>
            <w:r>
              <w:rPr>
                <w:color w:val="000000"/>
                <w:sz w:val="14"/>
                <w:szCs w:val="14"/>
              </w:rPr>
              <w:t>   </w:t>
            </w:r>
            <w:r>
              <w:rPr>
                <w:rStyle w:val="apple-converted-space"/>
                <w:color w:val="000000"/>
                <w:sz w:val="14"/>
                <w:szCs w:val="14"/>
              </w:rPr>
              <w:t> </w:t>
            </w:r>
            <w:r>
              <w:rPr>
                <w:rFonts w:ascii="Arial" w:hAnsi="Arial" w:cs="Arial"/>
                <w:color w:val="000000"/>
                <w:sz w:val="22"/>
                <w:szCs w:val="22"/>
              </w:rPr>
              <w:t xml:space="preserve">Neoclassical: Defining Gender roles in David, </w:t>
            </w:r>
            <w:proofErr w:type="spellStart"/>
            <w:r>
              <w:rPr>
                <w:rFonts w:ascii="Arial" w:hAnsi="Arial" w:cs="Arial"/>
                <w:color w:val="000000"/>
                <w:sz w:val="22"/>
                <w:szCs w:val="22"/>
              </w:rPr>
              <w:t>Girodet</w:t>
            </w:r>
            <w:proofErr w:type="spellEnd"/>
            <w:r>
              <w:rPr>
                <w:rFonts w:ascii="Arial" w:hAnsi="Arial" w:cs="Arial"/>
                <w:color w:val="000000"/>
                <w:sz w:val="22"/>
                <w:szCs w:val="22"/>
              </w:rPr>
              <w:t xml:space="preserve">, </w:t>
            </w:r>
            <w:proofErr w:type="spellStart"/>
            <w:r>
              <w:rPr>
                <w:rFonts w:ascii="Arial" w:hAnsi="Arial" w:cs="Arial"/>
                <w:color w:val="000000"/>
                <w:sz w:val="22"/>
                <w:szCs w:val="22"/>
              </w:rPr>
              <w:t>Drouet</w:t>
            </w:r>
            <w:proofErr w:type="spellEnd"/>
            <w:r>
              <w:rPr>
                <w:rFonts w:ascii="Arial" w:hAnsi="Arial" w:cs="Arial"/>
                <w:color w:val="000000"/>
                <w:sz w:val="22"/>
                <w:szCs w:val="22"/>
              </w:rPr>
              <w:t>, Benoist, Canova</w:t>
            </w:r>
          </w:p>
          <w:p w14:paraId="5086E6FB" w14:textId="77777777" w:rsidR="000C478E" w:rsidRDefault="000C478E" w:rsidP="000C478E">
            <w:pPr>
              <w:pStyle w:val="NormalWeb"/>
              <w:shd w:val="clear" w:color="auto" w:fill="FFFFFF"/>
              <w:spacing w:before="0" w:beforeAutospacing="0" w:after="0" w:afterAutospacing="0"/>
              <w:ind w:left="360" w:hanging="360"/>
              <w:rPr>
                <w:rFonts w:ascii="Calibri" w:hAnsi="Calibri" w:cs="Calibri"/>
                <w:color w:val="000000"/>
              </w:rPr>
            </w:pPr>
            <w:r>
              <w:rPr>
                <w:rFonts w:ascii="Arial" w:hAnsi="Arial" w:cs="Arial"/>
                <w:color w:val="000000"/>
                <w:sz w:val="22"/>
                <w:szCs w:val="22"/>
              </w:rPr>
              <w:t>2.</w:t>
            </w:r>
            <w:r>
              <w:rPr>
                <w:rStyle w:val="apple-converted-space"/>
                <w:color w:val="000000"/>
                <w:sz w:val="14"/>
                <w:szCs w:val="14"/>
              </w:rPr>
              <w:t> </w:t>
            </w:r>
            <w:r>
              <w:rPr>
                <w:color w:val="000000"/>
                <w:sz w:val="14"/>
                <w:szCs w:val="14"/>
              </w:rPr>
              <w:t>   </w:t>
            </w:r>
            <w:r>
              <w:rPr>
                <w:rStyle w:val="apple-converted-space"/>
                <w:color w:val="000000"/>
                <w:sz w:val="14"/>
                <w:szCs w:val="14"/>
              </w:rPr>
              <w:t> </w:t>
            </w:r>
            <w:r>
              <w:rPr>
                <w:rFonts w:ascii="Arial" w:hAnsi="Arial" w:cs="Arial"/>
                <w:color w:val="000000"/>
                <w:sz w:val="22"/>
                <w:szCs w:val="22"/>
              </w:rPr>
              <w:t>Romanticism: Women as objects in Ingres, Gericault, Delacroix, Rude, Goya, Blake</w:t>
            </w:r>
          </w:p>
          <w:p w14:paraId="625816EE" w14:textId="77777777" w:rsidR="000C478E" w:rsidRDefault="000C478E" w:rsidP="000C478E">
            <w:pPr>
              <w:pStyle w:val="NormalWeb"/>
              <w:shd w:val="clear" w:color="auto" w:fill="FFFFFF"/>
              <w:spacing w:before="0" w:beforeAutospacing="0" w:after="0" w:afterAutospacing="0"/>
              <w:ind w:left="360" w:hanging="360"/>
              <w:rPr>
                <w:rFonts w:ascii="Calibri" w:hAnsi="Calibri" w:cs="Calibri"/>
                <w:color w:val="000000"/>
              </w:rPr>
            </w:pPr>
            <w:r>
              <w:rPr>
                <w:rFonts w:ascii="Arial" w:hAnsi="Arial" w:cs="Arial"/>
                <w:color w:val="000000"/>
                <w:sz w:val="22"/>
                <w:szCs w:val="22"/>
              </w:rPr>
              <w:t>3.</w:t>
            </w:r>
            <w:r>
              <w:rPr>
                <w:rStyle w:val="apple-converted-space"/>
                <w:color w:val="000000"/>
                <w:sz w:val="14"/>
                <w:szCs w:val="14"/>
              </w:rPr>
              <w:t> </w:t>
            </w:r>
            <w:r>
              <w:rPr>
                <w:color w:val="000000"/>
                <w:sz w:val="14"/>
                <w:szCs w:val="14"/>
              </w:rPr>
              <w:t>   </w:t>
            </w:r>
            <w:r>
              <w:rPr>
                <w:rStyle w:val="apple-converted-space"/>
                <w:color w:val="000000"/>
                <w:sz w:val="14"/>
                <w:szCs w:val="14"/>
              </w:rPr>
              <w:t> </w:t>
            </w:r>
            <w:r>
              <w:rPr>
                <w:rFonts w:ascii="Arial" w:hAnsi="Arial" w:cs="Arial"/>
                <w:color w:val="000000"/>
                <w:sz w:val="22"/>
                <w:szCs w:val="22"/>
              </w:rPr>
              <w:t>Realism: Asserting women in Manet</w:t>
            </w:r>
          </w:p>
          <w:p w14:paraId="687489F1" w14:textId="77777777" w:rsidR="000C478E" w:rsidRDefault="000C478E" w:rsidP="000C478E">
            <w:pPr>
              <w:pStyle w:val="NormalWeb"/>
              <w:shd w:val="clear" w:color="auto" w:fill="FFFFFF"/>
              <w:spacing w:before="0" w:beforeAutospacing="0" w:after="0" w:afterAutospacing="0"/>
              <w:ind w:left="360" w:hanging="360"/>
              <w:rPr>
                <w:rFonts w:ascii="Calibri" w:hAnsi="Calibri" w:cs="Calibri"/>
                <w:color w:val="000000"/>
              </w:rPr>
            </w:pPr>
            <w:r>
              <w:rPr>
                <w:rFonts w:ascii="Arial" w:hAnsi="Arial" w:cs="Arial"/>
                <w:color w:val="000000"/>
                <w:sz w:val="22"/>
                <w:szCs w:val="22"/>
              </w:rPr>
              <w:t>4.</w:t>
            </w:r>
            <w:r>
              <w:rPr>
                <w:rStyle w:val="apple-converted-space"/>
                <w:color w:val="000000"/>
                <w:sz w:val="14"/>
                <w:szCs w:val="14"/>
              </w:rPr>
              <w:t> </w:t>
            </w:r>
            <w:r>
              <w:rPr>
                <w:color w:val="000000"/>
                <w:sz w:val="14"/>
                <w:szCs w:val="14"/>
              </w:rPr>
              <w:t>   </w:t>
            </w:r>
            <w:r>
              <w:rPr>
                <w:rStyle w:val="apple-converted-space"/>
                <w:color w:val="000000"/>
                <w:sz w:val="14"/>
                <w:szCs w:val="14"/>
              </w:rPr>
              <w:t> </w:t>
            </w:r>
            <w:r>
              <w:rPr>
                <w:rFonts w:ascii="Arial" w:hAnsi="Arial" w:cs="Arial"/>
                <w:color w:val="000000"/>
                <w:sz w:val="22"/>
                <w:szCs w:val="22"/>
              </w:rPr>
              <w:t>Impressionism: Gendered aesthetics in Caillebotte, Degas, Cassatt</w:t>
            </w:r>
          </w:p>
          <w:p w14:paraId="59DCC874" w14:textId="77777777" w:rsidR="000C478E" w:rsidRDefault="000C478E" w:rsidP="000C478E">
            <w:pPr>
              <w:pStyle w:val="NormalWeb"/>
              <w:shd w:val="clear" w:color="auto" w:fill="FFFFFF"/>
              <w:spacing w:before="0" w:beforeAutospacing="0" w:after="0" w:afterAutospacing="0"/>
              <w:ind w:left="360" w:hanging="360"/>
              <w:rPr>
                <w:rFonts w:ascii="Calibri" w:hAnsi="Calibri" w:cs="Calibri"/>
                <w:color w:val="000000"/>
              </w:rPr>
            </w:pPr>
            <w:r>
              <w:rPr>
                <w:rFonts w:ascii="Arial" w:hAnsi="Arial" w:cs="Arial"/>
                <w:color w:val="000000"/>
                <w:sz w:val="22"/>
                <w:szCs w:val="22"/>
              </w:rPr>
              <w:t>5.</w:t>
            </w:r>
            <w:r>
              <w:rPr>
                <w:rStyle w:val="apple-converted-space"/>
                <w:color w:val="000000"/>
                <w:sz w:val="14"/>
                <w:szCs w:val="14"/>
              </w:rPr>
              <w:t> </w:t>
            </w:r>
            <w:r>
              <w:rPr>
                <w:color w:val="000000"/>
                <w:sz w:val="14"/>
                <w:szCs w:val="14"/>
              </w:rPr>
              <w:t>   </w:t>
            </w:r>
            <w:r>
              <w:rPr>
                <w:rStyle w:val="apple-converted-space"/>
                <w:color w:val="000000"/>
                <w:sz w:val="14"/>
                <w:szCs w:val="14"/>
              </w:rPr>
              <w:t> </w:t>
            </w:r>
            <w:r>
              <w:rPr>
                <w:rFonts w:ascii="Arial" w:hAnsi="Arial" w:cs="Arial"/>
                <w:color w:val="000000"/>
                <w:sz w:val="22"/>
                <w:szCs w:val="22"/>
              </w:rPr>
              <w:t>Post-Impressionism: The rise of male modernism in Gauguin, Cezanne, Toulouse-</w:t>
            </w:r>
            <w:proofErr w:type="spellStart"/>
            <w:r>
              <w:rPr>
                <w:rFonts w:ascii="Arial" w:hAnsi="Arial" w:cs="Arial"/>
                <w:color w:val="000000"/>
                <w:sz w:val="22"/>
                <w:szCs w:val="22"/>
              </w:rPr>
              <w:t>Latrec</w:t>
            </w:r>
            <w:proofErr w:type="spellEnd"/>
            <w:r>
              <w:rPr>
                <w:rFonts w:ascii="Arial" w:hAnsi="Arial" w:cs="Arial"/>
                <w:color w:val="000000"/>
                <w:sz w:val="22"/>
                <w:szCs w:val="22"/>
              </w:rPr>
              <w:t>, Rodin, Claudel</w:t>
            </w:r>
          </w:p>
          <w:p w14:paraId="381EE3C9" w14:textId="15576D41" w:rsidR="000C478E" w:rsidRDefault="000C478E" w:rsidP="000C478E">
            <w:pPr>
              <w:pStyle w:val="NormalWeb"/>
              <w:spacing w:before="0" w:beforeAutospacing="0" w:after="0" w:afterAutospacing="0"/>
              <w:rPr>
                <w:rFonts w:ascii="Calibri" w:hAnsi="Calibri" w:cs="Calibri"/>
                <w:color w:val="000000"/>
              </w:rPr>
            </w:pPr>
            <w:r w:rsidRPr="000C478E">
              <w:rPr>
                <w:b/>
                <w:color w:val="000000"/>
                <w:sz w:val="22"/>
                <w:szCs w:val="22"/>
              </w:rPr>
              <w:lastRenderedPageBreak/>
              <w:t> </w:t>
            </w:r>
            <w:r w:rsidRPr="000C478E">
              <w:rPr>
                <w:rFonts w:ascii="Arial" w:hAnsi="Arial" w:cs="Arial"/>
                <w:b/>
                <w:color w:val="000000"/>
                <w:sz w:val="22"/>
                <w:szCs w:val="22"/>
              </w:rPr>
              <w:t>Art and Labor</w:t>
            </w:r>
            <w:r>
              <w:rPr>
                <w:rFonts w:ascii="Arial" w:hAnsi="Arial" w:cs="Arial"/>
                <w:color w:val="000000"/>
                <w:sz w:val="22"/>
                <w:szCs w:val="22"/>
              </w:rPr>
              <w:t xml:space="preserve"> (drawing from</w:t>
            </w:r>
            <w:hyperlink r:id="rId12" w:history="1">
              <w:r>
                <w:rPr>
                  <w:rStyle w:val="apple-converted-space"/>
                  <w:rFonts w:ascii="Arial" w:hAnsi="Arial" w:cs="Arial"/>
                  <w:color w:val="000000"/>
                  <w:sz w:val="22"/>
                  <w:szCs w:val="22"/>
                  <w:u w:val="single"/>
                </w:rPr>
                <w:t> </w:t>
              </w:r>
              <w:r>
                <w:rPr>
                  <w:rStyle w:val="Hyperlink"/>
                  <w:rFonts w:ascii="Arial" w:hAnsi="Arial" w:cs="Arial"/>
                  <w:color w:val="1155CC"/>
                  <w:sz w:val="22"/>
                  <w:szCs w:val="22"/>
                </w:rPr>
                <w:t>AHTR</w:t>
              </w:r>
            </w:hyperlink>
            <w:r>
              <w:rPr>
                <w:rFonts w:ascii="Arial" w:hAnsi="Arial" w:cs="Arial"/>
                <w:color w:val="000000"/>
                <w:sz w:val="22"/>
                <w:szCs w:val="22"/>
              </w:rPr>
              <w:t>): </w:t>
            </w:r>
          </w:p>
          <w:p w14:paraId="14157A34" w14:textId="77777777" w:rsidR="000C478E" w:rsidRDefault="000C478E" w:rsidP="000C478E">
            <w:pPr>
              <w:pStyle w:val="NormalWeb"/>
              <w:numPr>
                <w:ilvl w:val="0"/>
                <w:numId w:val="18"/>
              </w:numPr>
              <w:spacing w:before="0" w:beforeAutospacing="0" w:after="0" w:afterAutospacing="0"/>
              <w:rPr>
                <w:rFonts w:ascii="Arial" w:hAnsi="Arial" w:cs="Arial"/>
                <w:color w:val="000000"/>
                <w:sz w:val="22"/>
                <w:szCs w:val="22"/>
              </w:rPr>
            </w:pPr>
            <w:r>
              <w:rPr>
                <w:rFonts w:ascii="Arial" w:hAnsi="Arial" w:cs="Arial"/>
                <w:color w:val="000000"/>
                <w:sz w:val="22"/>
                <w:szCs w:val="22"/>
              </w:rPr>
              <w:t>Rural labor: Realism, women peasant working, France</w:t>
            </w:r>
          </w:p>
          <w:p w14:paraId="16FDCAC0" w14:textId="77777777" w:rsidR="000C478E" w:rsidRDefault="000C478E" w:rsidP="000C478E">
            <w:pPr>
              <w:pStyle w:val="NormalWeb"/>
              <w:numPr>
                <w:ilvl w:val="0"/>
                <w:numId w:val="18"/>
              </w:numPr>
              <w:spacing w:before="0" w:beforeAutospacing="0" w:after="0" w:afterAutospacing="0"/>
              <w:rPr>
                <w:rFonts w:ascii="Arial" w:hAnsi="Arial" w:cs="Arial"/>
                <w:color w:val="000000"/>
                <w:sz w:val="22"/>
                <w:szCs w:val="22"/>
              </w:rPr>
            </w:pPr>
            <w:r>
              <w:rPr>
                <w:rFonts w:ascii="Arial" w:hAnsi="Arial" w:cs="Arial"/>
                <w:color w:val="000000"/>
                <w:sz w:val="22"/>
                <w:szCs w:val="22"/>
              </w:rPr>
              <w:t>Urban labor: Victorian England, PRB, prostitution, domestic</w:t>
            </w:r>
          </w:p>
          <w:p w14:paraId="437386E1" w14:textId="265DB5C4" w:rsidR="000C478E" w:rsidRPr="000C478E" w:rsidRDefault="000C478E" w:rsidP="000C478E">
            <w:pPr>
              <w:pStyle w:val="NormalWeb"/>
              <w:numPr>
                <w:ilvl w:val="0"/>
                <w:numId w:val="18"/>
              </w:numPr>
              <w:spacing w:before="0" w:beforeAutospacing="0" w:after="0" w:afterAutospacing="0"/>
              <w:rPr>
                <w:rFonts w:ascii="Arial" w:hAnsi="Arial" w:cs="Arial"/>
                <w:color w:val="000000"/>
                <w:sz w:val="22"/>
                <w:szCs w:val="22"/>
              </w:rPr>
            </w:pPr>
            <w:r>
              <w:rPr>
                <w:rFonts w:ascii="Arial" w:hAnsi="Arial" w:cs="Arial"/>
                <w:color w:val="000000"/>
                <w:sz w:val="22"/>
                <w:szCs w:val="22"/>
              </w:rPr>
              <w:t>Artists’ labor: Aestheticism, Arts &amp; Crafts movement, Whistler vs. Ruskin trial</w:t>
            </w:r>
          </w:p>
          <w:p w14:paraId="420A3E3B" w14:textId="77777777" w:rsidR="000C478E" w:rsidRPr="000C478E" w:rsidRDefault="000C478E" w:rsidP="000C478E">
            <w:pPr>
              <w:pStyle w:val="NormalWeb"/>
              <w:spacing w:before="0" w:beforeAutospacing="0" w:after="0" w:afterAutospacing="0"/>
              <w:rPr>
                <w:rFonts w:ascii="Calibri" w:hAnsi="Calibri" w:cs="Calibri"/>
                <w:b/>
                <w:color w:val="000000"/>
              </w:rPr>
            </w:pPr>
            <w:r w:rsidRPr="000C478E">
              <w:rPr>
                <w:rFonts w:ascii="Arial" w:hAnsi="Arial" w:cs="Arial"/>
                <w:b/>
                <w:color w:val="000000"/>
                <w:sz w:val="22"/>
                <w:szCs w:val="22"/>
              </w:rPr>
              <w:t>19C Women artists</w:t>
            </w:r>
          </w:p>
          <w:p w14:paraId="66CDCC93" w14:textId="7412F877" w:rsidR="000C478E" w:rsidRPr="00E3737C" w:rsidRDefault="000C478E" w:rsidP="00C1742C">
            <w:pPr>
              <w:pStyle w:val="NormalWeb"/>
              <w:spacing w:before="0" w:beforeAutospacing="0" w:after="0" w:afterAutospacing="0"/>
              <w:rPr>
                <w:rFonts w:ascii="Calibri" w:hAnsi="Calibri" w:cs="Calibri"/>
                <w:color w:val="000000"/>
              </w:rPr>
            </w:pPr>
            <w:r>
              <w:rPr>
                <w:rFonts w:ascii="Arial" w:hAnsi="Arial" w:cs="Arial"/>
                <w:color w:val="000000"/>
                <w:sz w:val="22"/>
                <w:szCs w:val="22"/>
              </w:rPr>
              <w:t>Black artists an</w:t>
            </w:r>
            <w:bookmarkStart w:id="26" w:name="_GoBack"/>
            <w:bookmarkEnd w:id="26"/>
            <w:r>
              <w:rPr>
                <w:rFonts w:ascii="Arial" w:hAnsi="Arial" w:cs="Arial"/>
                <w:color w:val="000000"/>
                <w:sz w:val="22"/>
                <w:szCs w:val="22"/>
              </w:rPr>
              <w:t>d subjects in 19C Europe (maybe seminar)</w:t>
            </w:r>
          </w:p>
        </w:tc>
      </w:tr>
    </w:tbl>
    <w:p w14:paraId="38619DD2" w14:textId="77777777" w:rsidR="000C478E" w:rsidRDefault="000C478E" w:rsidP="000C478E">
      <w:pPr>
        <w:spacing w:line="240" w:lineRule="auto"/>
      </w:pPr>
    </w:p>
    <w:p w14:paraId="6819D7F8" w14:textId="43B6016D" w:rsidR="00F64260" w:rsidRDefault="00F64260" w:rsidP="000C478E">
      <w:pPr>
        <w:spacing w:line="240" w:lineRule="auto"/>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0"/>
        <w:gridCol w:w="3254"/>
        <w:gridCol w:w="3196"/>
        <w:gridCol w:w="1160"/>
      </w:tblGrid>
      <w:tr w:rsidR="00115A68" w:rsidRPr="00402602" w14:paraId="67436BB2" w14:textId="77777777" w:rsidTr="001B440F">
        <w:trPr>
          <w:cantSplit/>
          <w:tblHeader/>
        </w:trPr>
        <w:tc>
          <w:tcPr>
            <w:tcW w:w="3170"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96"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1B440F">
        <w:trPr>
          <w:cantSplit/>
          <w:trHeight w:val="489"/>
        </w:trPr>
        <w:tc>
          <w:tcPr>
            <w:tcW w:w="3170" w:type="dxa"/>
            <w:vAlign w:val="center"/>
          </w:tcPr>
          <w:p w14:paraId="2B0991B7" w14:textId="4CDB5DB6" w:rsidR="00115A68" w:rsidRDefault="003429BF" w:rsidP="0015571B">
            <w:pPr>
              <w:spacing w:line="240" w:lineRule="auto"/>
            </w:pPr>
            <w:r>
              <w:t>Doug Bosch</w:t>
            </w:r>
          </w:p>
        </w:tc>
        <w:tc>
          <w:tcPr>
            <w:tcW w:w="3254" w:type="dxa"/>
            <w:vAlign w:val="center"/>
          </w:tcPr>
          <w:p w14:paraId="2927DBCB" w14:textId="43AC879D" w:rsidR="00115A68" w:rsidRDefault="00115A68" w:rsidP="0015571B">
            <w:pPr>
              <w:spacing w:line="240" w:lineRule="auto"/>
            </w:pPr>
            <w:r>
              <w:t xml:space="preserve">Chair of </w:t>
            </w:r>
            <w:r w:rsidR="003429BF">
              <w:t>Art</w:t>
            </w:r>
          </w:p>
        </w:tc>
        <w:tc>
          <w:tcPr>
            <w:tcW w:w="3196" w:type="dxa"/>
            <w:vAlign w:val="center"/>
          </w:tcPr>
          <w:p w14:paraId="7927CB11" w14:textId="77777777" w:rsidR="00115A68" w:rsidRDefault="00115A68" w:rsidP="0015571B">
            <w:pPr>
              <w:spacing w:line="240" w:lineRule="auto"/>
            </w:pPr>
          </w:p>
        </w:tc>
        <w:tc>
          <w:tcPr>
            <w:tcW w:w="1160" w:type="dxa"/>
            <w:vAlign w:val="center"/>
          </w:tcPr>
          <w:p w14:paraId="06A64098" w14:textId="77777777" w:rsidR="00115A68" w:rsidRDefault="00115A68" w:rsidP="0015571B">
            <w:pPr>
              <w:spacing w:line="240" w:lineRule="auto"/>
            </w:pPr>
          </w:p>
        </w:tc>
      </w:tr>
      <w:tr w:rsidR="00115A68" w14:paraId="5FB4CB46" w14:textId="77777777" w:rsidTr="001B440F">
        <w:trPr>
          <w:cantSplit/>
          <w:trHeight w:val="489"/>
        </w:trPr>
        <w:tc>
          <w:tcPr>
            <w:tcW w:w="3170" w:type="dxa"/>
            <w:vAlign w:val="center"/>
          </w:tcPr>
          <w:p w14:paraId="6ED2A8A6" w14:textId="16A6FA7E" w:rsidR="00115A68" w:rsidRDefault="003429BF" w:rsidP="0015571B">
            <w:pPr>
              <w:spacing w:line="240" w:lineRule="auto"/>
            </w:pPr>
            <w:r>
              <w:t>Earl Simson</w:t>
            </w:r>
          </w:p>
        </w:tc>
        <w:tc>
          <w:tcPr>
            <w:tcW w:w="3254" w:type="dxa"/>
            <w:vAlign w:val="center"/>
          </w:tcPr>
          <w:p w14:paraId="229CC930" w14:textId="1EE4726A" w:rsidR="00115A68" w:rsidRDefault="00115A68" w:rsidP="0015571B">
            <w:pPr>
              <w:spacing w:line="240" w:lineRule="auto"/>
            </w:pPr>
            <w:r>
              <w:t xml:space="preserve">Dean of </w:t>
            </w:r>
            <w:r w:rsidR="003429BF">
              <w:t>Faculty of Arts &amp; Sciences</w:t>
            </w:r>
          </w:p>
        </w:tc>
        <w:tc>
          <w:tcPr>
            <w:tcW w:w="3196" w:type="dxa"/>
            <w:vAlign w:val="center"/>
          </w:tcPr>
          <w:p w14:paraId="73DF0B07" w14:textId="77777777" w:rsidR="00115A68" w:rsidRDefault="00115A68" w:rsidP="0015571B">
            <w:pPr>
              <w:spacing w:line="240" w:lineRule="auto"/>
            </w:pPr>
          </w:p>
        </w:tc>
        <w:tc>
          <w:tcPr>
            <w:tcW w:w="1160" w:type="dxa"/>
            <w:vAlign w:val="center"/>
          </w:tcPr>
          <w:p w14:paraId="4EB70E84" w14:textId="3D0620A7"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993072"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52138" w14:textId="77777777" w:rsidR="00993072" w:rsidRDefault="00993072" w:rsidP="00FA78CA">
      <w:pPr>
        <w:spacing w:line="240" w:lineRule="auto"/>
      </w:pPr>
      <w:r>
        <w:separator/>
      </w:r>
    </w:p>
  </w:endnote>
  <w:endnote w:type="continuationSeparator" w:id="0">
    <w:p w14:paraId="0E2C2146" w14:textId="77777777" w:rsidR="00993072" w:rsidRDefault="0099307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429BF">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429BF">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BF8C1" w14:textId="77777777" w:rsidR="00993072" w:rsidRDefault="00993072" w:rsidP="00FA78CA">
      <w:pPr>
        <w:spacing w:line="240" w:lineRule="auto"/>
      </w:pPr>
      <w:r>
        <w:separator/>
      </w:r>
    </w:p>
  </w:footnote>
  <w:footnote w:type="continuationSeparator" w:id="0">
    <w:p w14:paraId="6D23B5A8" w14:textId="77777777" w:rsidR="00993072" w:rsidRDefault="0099307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E6ABA4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1B440F">
      <w:rPr>
        <w:color w:val="4F6228"/>
      </w:rPr>
      <w:t>19-20-038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1B440F">
      <w:rPr>
        <w:color w:val="4F6228"/>
      </w:rPr>
      <w:t>11/21/2019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27A3"/>
    <w:multiLevelType w:val="multilevel"/>
    <w:tmpl w:val="988C9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F4C01"/>
    <w:multiLevelType w:val="multilevel"/>
    <w:tmpl w:val="EB68B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5563B0"/>
    <w:multiLevelType w:val="multilevel"/>
    <w:tmpl w:val="5AD40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B9A41FE"/>
    <w:multiLevelType w:val="multilevel"/>
    <w:tmpl w:val="C31CA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EF452A"/>
    <w:multiLevelType w:val="multilevel"/>
    <w:tmpl w:val="6172E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9542EE"/>
    <w:multiLevelType w:val="multilevel"/>
    <w:tmpl w:val="C0483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C10DE2"/>
    <w:multiLevelType w:val="multilevel"/>
    <w:tmpl w:val="8F704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3"/>
  </w:num>
  <w:num w:numId="2">
    <w:abstractNumId w:val="4"/>
  </w:num>
  <w:num w:numId="3">
    <w:abstractNumId w:val="11"/>
  </w:num>
  <w:num w:numId="4">
    <w:abstractNumId w:val="2"/>
  </w:num>
  <w:num w:numId="5">
    <w:abstractNumId w:val="6"/>
  </w:num>
  <w:num w:numId="6">
    <w:abstractNumId w:val="14"/>
  </w:num>
  <w:num w:numId="7">
    <w:abstractNumId w:val="3"/>
  </w:num>
  <w:num w:numId="8">
    <w:abstractNumId w:val="8"/>
  </w:num>
  <w:num w:numId="9">
    <w:abstractNumId w:val="12"/>
  </w:num>
  <w:num w:numId="10">
    <w:abstractNumId w:val="5"/>
  </w:num>
  <w:num w:numId="11">
    <w:abstractNumId w:val="17"/>
  </w:num>
  <w:num w:numId="12">
    <w:abstractNumId w:val="1"/>
  </w:num>
  <w:num w:numId="13">
    <w:abstractNumId w:val="0"/>
  </w:num>
  <w:num w:numId="14">
    <w:abstractNumId w:val="16"/>
  </w:num>
  <w:num w:numId="15">
    <w:abstractNumId w:val="9"/>
  </w:num>
  <w:num w:numId="16">
    <w:abstractNumId w:val="15"/>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C478E"/>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B440F"/>
    <w:rsid w:val="001C2D85"/>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29BF"/>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6559A"/>
    <w:rsid w:val="004779B4"/>
    <w:rsid w:val="004E57C5"/>
    <w:rsid w:val="005123F2"/>
    <w:rsid w:val="00517DB2"/>
    <w:rsid w:val="005473BC"/>
    <w:rsid w:val="00586EA8"/>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3A87"/>
    <w:rsid w:val="008555D8"/>
    <w:rsid w:val="008628B1"/>
    <w:rsid w:val="00865915"/>
    <w:rsid w:val="00872775"/>
    <w:rsid w:val="008745BA"/>
    <w:rsid w:val="00880392"/>
    <w:rsid w:val="008836DF"/>
    <w:rsid w:val="008847FE"/>
    <w:rsid w:val="0089234B"/>
    <w:rsid w:val="008927AF"/>
    <w:rsid w:val="0089400B"/>
    <w:rsid w:val="008B1F84"/>
    <w:rsid w:val="008C34BC"/>
    <w:rsid w:val="008D52B7"/>
    <w:rsid w:val="008E0FCD"/>
    <w:rsid w:val="008E3EFA"/>
    <w:rsid w:val="008F175C"/>
    <w:rsid w:val="00905E67"/>
    <w:rsid w:val="00913143"/>
    <w:rsid w:val="00917D8C"/>
    <w:rsid w:val="009271C5"/>
    <w:rsid w:val="00936421"/>
    <w:rsid w:val="009458D2"/>
    <w:rsid w:val="00946B20"/>
    <w:rsid w:val="0098046D"/>
    <w:rsid w:val="00984B36"/>
    <w:rsid w:val="00993072"/>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D1C35"/>
    <w:rsid w:val="00AE78C2"/>
    <w:rsid w:val="00AE7A3D"/>
    <w:rsid w:val="00B12BAB"/>
    <w:rsid w:val="00B20954"/>
    <w:rsid w:val="00B24AAC"/>
    <w:rsid w:val="00B25878"/>
    <w:rsid w:val="00B26F16"/>
    <w:rsid w:val="00B35315"/>
    <w:rsid w:val="00B4771F"/>
    <w:rsid w:val="00B4784B"/>
    <w:rsid w:val="00B51B79"/>
    <w:rsid w:val="00B605CE"/>
    <w:rsid w:val="00B60D02"/>
    <w:rsid w:val="00B649C4"/>
    <w:rsid w:val="00B77956"/>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D2B03"/>
    <w:rsid w:val="00CF547E"/>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91B10"/>
    <w:rsid w:val="00EB33FD"/>
    <w:rsid w:val="00EC63A4"/>
    <w:rsid w:val="00EC7B24"/>
    <w:rsid w:val="00ED1712"/>
    <w:rsid w:val="00F15B95"/>
    <w:rsid w:val="00F3256C"/>
    <w:rsid w:val="00F32980"/>
    <w:rsid w:val="00F64260"/>
    <w:rsid w:val="00F853AA"/>
    <w:rsid w:val="00F871BA"/>
    <w:rsid w:val="00FA6359"/>
    <w:rsid w:val="00FA6998"/>
    <w:rsid w:val="00FA769F"/>
    <w:rsid w:val="00FA78CA"/>
    <w:rsid w:val="00FD61D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0C478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0C4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239082">
      <w:bodyDiv w:val="1"/>
      <w:marLeft w:val="0"/>
      <w:marRight w:val="0"/>
      <w:marTop w:val="0"/>
      <w:marBottom w:val="0"/>
      <w:divBdr>
        <w:top w:val="none" w:sz="0" w:space="0" w:color="auto"/>
        <w:left w:val="none" w:sz="0" w:space="0" w:color="auto"/>
        <w:bottom w:val="none" w:sz="0" w:space="0" w:color="auto"/>
        <w:right w:val="none" w:sz="0" w:space="0" w:color="auto"/>
      </w:divBdr>
    </w:div>
    <w:div w:id="874580182">
      <w:bodyDiv w:val="1"/>
      <w:marLeft w:val="0"/>
      <w:marRight w:val="0"/>
      <w:marTop w:val="0"/>
      <w:marBottom w:val="0"/>
      <w:divBdr>
        <w:top w:val="none" w:sz="0" w:space="0" w:color="auto"/>
        <w:left w:val="none" w:sz="0" w:space="0" w:color="auto"/>
        <w:bottom w:val="none" w:sz="0" w:space="0" w:color="auto"/>
        <w:right w:val="none" w:sz="0" w:space="0" w:color="auto"/>
      </w:divBdr>
    </w:div>
    <w:div w:id="197528353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rthistoryteachingresources.org/lessons/art-and-labor-in-the-nineteenth-centu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67Z3ZXSPZZWZ-949-1107</_dlc_DocId>
    <_dlc_DocIdUrl xmlns="67887a43-7e4d-4c1c-91d7-15e417b1b8ab">
      <Url>https://w3.ric.edu/curriculum_committee/_layouts/15/DocIdRedir.aspx?ID=67Z3ZXSPZZWZ-949-1107</Url>
      <Description>67Z3ZXSPZZWZ-949-1107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1CE340A5-C435-4AD3-90EC-EC9075DB265A}"/>
</file>

<file path=docProps/app.xml><?xml version="1.0" encoding="utf-8"?>
<Properties xmlns="http://schemas.openxmlformats.org/officeDocument/2006/extended-properties" xmlns:vt="http://schemas.openxmlformats.org/officeDocument/2006/docPropsVTypes">
  <Template>Normal.dotm</Template>
  <TotalTime>14</TotalTime>
  <Pages>3</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2015-10-02T15:20:00Z</cp:lastPrinted>
  <dcterms:created xsi:type="dcterms:W3CDTF">2019-04-16T16:51:00Z</dcterms:created>
  <dcterms:modified xsi:type="dcterms:W3CDTF">2019-12-19T18:53:00Z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601418cb-c84f-446a-87b6-3750b6f9ffcf</vt:lpwstr>
  </property>
</Properties>
</file>