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655503B" w:rsidR="00F64260" w:rsidRPr="00A83A6C" w:rsidRDefault="005123F2" w:rsidP="00B77956">
            <w:pPr>
              <w:pStyle w:val="Heading5"/>
              <w:rPr>
                <w:b/>
              </w:rPr>
            </w:pPr>
            <w:bookmarkStart w:id="0" w:name="Proposal"/>
            <w:bookmarkEnd w:id="0"/>
            <w:r>
              <w:rPr>
                <w:b/>
              </w:rPr>
              <w:t>ART 33</w:t>
            </w:r>
            <w:r w:rsidR="00ED4B5C">
              <w:rPr>
                <w:b/>
              </w:rPr>
              <w:t>4</w:t>
            </w:r>
            <w:r>
              <w:rPr>
                <w:b/>
              </w:rPr>
              <w:t>: STUDIES IN American Art and Architecture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A03B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4FD3B03" w:rsidR="00F64260" w:rsidRPr="00A83A6C" w:rsidRDefault="005123F2" w:rsidP="00B862BF">
            <w:pPr>
              <w:pStyle w:val="Heading5"/>
              <w:rPr>
                <w:b/>
              </w:rPr>
            </w:pPr>
            <w:bookmarkStart w:id="3" w:name="Ifapplicable"/>
            <w:bookmarkEnd w:id="3"/>
            <w:r>
              <w:rPr>
                <w:b/>
              </w:rPr>
              <w:t>ART 334: American Art and Architecture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4DABB5" w:rsidR="00F64260" w:rsidRPr="005F2A05" w:rsidRDefault="00F64260" w:rsidP="000A36CD">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2C118F8" w:rsidR="00F64260" w:rsidRPr="00B605CE" w:rsidRDefault="005123F2" w:rsidP="00B862BF">
            <w:pPr>
              <w:rPr>
                <w:b/>
              </w:rPr>
            </w:pPr>
            <w:bookmarkStart w:id="6" w:name="Originator"/>
            <w:bookmarkEnd w:id="6"/>
            <w:r>
              <w:rPr>
                <w:b/>
              </w:rPr>
              <w:t>Sara Picard</w:t>
            </w:r>
          </w:p>
        </w:tc>
        <w:tc>
          <w:tcPr>
            <w:tcW w:w="1210" w:type="pct"/>
          </w:tcPr>
          <w:p w14:paraId="788D9512" w14:textId="19B60691" w:rsidR="00F64260" w:rsidRPr="00946B20" w:rsidRDefault="004A03B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E7B03F" w:rsidR="00F64260" w:rsidRPr="00B605CE" w:rsidRDefault="005123F2"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1FC529F" w14:textId="6B758BE8" w:rsidR="00F64260" w:rsidRDefault="007C0696">
            <w:pPr>
              <w:spacing w:line="240" w:lineRule="auto"/>
              <w:rPr>
                <w:b/>
              </w:rPr>
            </w:pPr>
            <w:r w:rsidRPr="007C0696">
              <w:rPr>
                <w:b/>
              </w:rPr>
              <w:t>The new course name and description clarifies and better reflects the changing knowledge base of the field which has become diversifie</w:t>
            </w:r>
            <w:r w:rsidR="001D5841">
              <w:rPr>
                <w:b/>
              </w:rPr>
              <w:t>d</w:t>
            </w:r>
            <w:r w:rsidRPr="007C0696">
              <w:rPr>
                <w:b/>
              </w:rPr>
              <w:t xml:space="preserve">. Course content draws from a more inclusive approach to art history. Topics can change from semester to semester to accommodate prescient themes and approaches, topical events, and underrepresented artists making room for more variety and moments of greater depth. Students will </w:t>
            </w:r>
            <w:r w:rsidR="002D7101">
              <w:rPr>
                <w:b/>
              </w:rPr>
              <w:t xml:space="preserve">also </w:t>
            </w:r>
            <w:r w:rsidRPr="007C0696">
              <w:rPr>
                <w:b/>
              </w:rPr>
              <w:t xml:space="preserve">be able to repeat the course for credit with a change in topic.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50DEB66" w:rsidR="00517DB2" w:rsidRPr="00B649C4" w:rsidRDefault="00F93E8D" w:rsidP="00517DB2">
            <w:pPr>
              <w:rPr>
                <w:b/>
              </w:rPr>
            </w:pPr>
            <w:bookmarkStart w:id="9" w:name="student_impact"/>
            <w:bookmarkEnd w:id="9"/>
            <w:r>
              <w:rPr>
                <w:b/>
              </w:rPr>
              <w:t xml:space="preserve">This update will allow for a more accurate representation of the material that the course can cover and allow students to take the course again for further breadth.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FBDF1D6" w:rsidR="00517DB2" w:rsidRPr="00B649C4" w:rsidRDefault="005123F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A03B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63268A4" w:rsidR="008D52B7" w:rsidRPr="00C25F9D" w:rsidRDefault="00F93E8D" w:rsidP="008D52B7">
            <w:pPr>
              <w:rPr>
                <w:b/>
              </w:rPr>
            </w:pPr>
            <w:r>
              <w:rPr>
                <w:b/>
              </w:rPr>
              <w:t>None</w:t>
            </w:r>
            <w:r w:rsidR="00473C9C">
              <w:rPr>
                <w:b/>
              </w:rPr>
              <w:t>, current faculty will teach</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A03B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E99B2F" w:rsidR="008D52B7" w:rsidRPr="00C25F9D" w:rsidRDefault="005123F2" w:rsidP="008D52B7">
            <w:pPr>
              <w:rPr>
                <w:b/>
              </w:rPr>
            </w:pPr>
            <w:r>
              <w:rPr>
                <w:b/>
              </w:rPr>
              <w:t>None</w:t>
            </w:r>
            <w:r w:rsidR="00473C9C">
              <w:rPr>
                <w:b/>
              </w:rPr>
              <w:t>, acquisitions will be at the same pace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A03B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0B11E70" w:rsidR="008D52B7" w:rsidRPr="00C25F9D" w:rsidRDefault="005123F2" w:rsidP="00473C9C">
            <w:pPr>
              <w:rPr>
                <w:b/>
              </w:rPr>
            </w:pPr>
            <w:r>
              <w:rPr>
                <w:b/>
              </w:rPr>
              <w:t>None</w:t>
            </w:r>
            <w:r w:rsidR="00473C9C">
              <w:rPr>
                <w:b/>
              </w:rPr>
              <w:t>, same technology</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A03B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D1C9FD7" w:rsidR="008D52B7" w:rsidRPr="00C25F9D" w:rsidRDefault="005123F2" w:rsidP="008D52B7">
            <w:pPr>
              <w:rPr>
                <w:b/>
              </w:rPr>
            </w:pPr>
            <w:r>
              <w:rPr>
                <w:b/>
              </w:rPr>
              <w:t>None</w:t>
            </w:r>
            <w:r w:rsidR="00473C9C">
              <w:rPr>
                <w:b/>
              </w:rPr>
              <w:t>, same room</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0231A30" w:rsidR="00F64260" w:rsidRPr="00B605CE" w:rsidRDefault="005123F2"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E3737C">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E3737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60202E6" w:rsidR="00F64260" w:rsidRPr="009F029C" w:rsidRDefault="002D7101" w:rsidP="001429AA">
            <w:pPr>
              <w:spacing w:line="240" w:lineRule="auto"/>
              <w:rPr>
                <w:b/>
              </w:rPr>
            </w:pPr>
            <w:bookmarkStart w:id="13" w:name="cours_title"/>
            <w:bookmarkEnd w:id="13"/>
            <w:r>
              <w:rPr>
                <w:b/>
              </w:rPr>
              <w:t>ART 334</w:t>
            </w:r>
          </w:p>
        </w:tc>
        <w:tc>
          <w:tcPr>
            <w:tcW w:w="3840" w:type="dxa"/>
            <w:noWrap/>
          </w:tcPr>
          <w:p w14:paraId="6540064C" w14:textId="49C2740F" w:rsidR="00F64260" w:rsidRPr="009F029C" w:rsidRDefault="002D7101" w:rsidP="001429AA">
            <w:pPr>
              <w:spacing w:line="240" w:lineRule="auto"/>
              <w:rPr>
                <w:b/>
              </w:rPr>
            </w:pPr>
            <w:r>
              <w:rPr>
                <w:b/>
              </w:rPr>
              <w:t>ART 334</w:t>
            </w:r>
          </w:p>
        </w:tc>
      </w:tr>
      <w:tr w:rsidR="00F64260" w:rsidRPr="006E3AF2" w14:paraId="203B0C45" w14:textId="77777777" w:rsidTr="00E3737C">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E3737C">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A2AD5A8" w:rsidR="00F64260" w:rsidRPr="009F029C" w:rsidRDefault="005123F2" w:rsidP="001429AA">
            <w:pPr>
              <w:spacing w:line="240" w:lineRule="auto"/>
              <w:rPr>
                <w:b/>
              </w:rPr>
            </w:pPr>
            <w:bookmarkStart w:id="14" w:name="title"/>
            <w:bookmarkEnd w:id="14"/>
            <w:r>
              <w:rPr>
                <w:b/>
              </w:rPr>
              <w:t>American Art and Architecture</w:t>
            </w:r>
          </w:p>
        </w:tc>
        <w:tc>
          <w:tcPr>
            <w:tcW w:w="3840" w:type="dxa"/>
            <w:noWrap/>
          </w:tcPr>
          <w:p w14:paraId="2B9DB727" w14:textId="2B203DFE" w:rsidR="00F64260" w:rsidRPr="009F029C" w:rsidRDefault="005123F2" w:rsidP="001429AA">
            <w:pPr>
              <w:spacing w:line="240" w:lineRule="auto"/>
              <w:rPr>
                <w:b/>
              </w:rPr>
            </w:pPr>
            <w:r>
              <w:rPr>
                <w:b/>
              </w:rPr>
              <w:t>Studies in American Art and Architecture</w:t>
            </w:r>
          </w:p>
        </w:tc>
      </w:tr>
      <w:tr w:rsidR="00F64260" w:rsidRPr="006E3AF2" w14:paraId="76E4D772" w14:textId="77777777" w:rsidTr="00E3737C">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F7C22BF" w:rsidR="00F64260" w:rsidRPr="009F029C" w:rsidRDefault="005123F2" w:rsidP="009F029C">
            <w:pPr>
              <w:tabs>
                <w:tab w:val="left" w:pos="690"/>
              </w:tabs>
              <w:spacing w:line="240" w:lineRule="auto"/>
              <w:rPr>
                <w:b/>
              </w:rPr>
            </w:pPr>
            <w:bookmarkStart w:id="15" w:name="description"/>
            <w:bookmarkEnd w:id="15"/>
            <w:r w:rsidRPr="002E7491">
              <w:rPr>
                <w:rFonts w:ascii="Arial" w:hAnsi="Arial" w:cs="Arial"/>
                <w:color w:val="444444"/>
                <w:sz w:val="20"/>
                <w:szCs w:val="20"/>
                <w:shd w:val="clear" w:color="auto" w:fill="FFFFFF"/>
              </w:rPr>
              <w:t>Painting, sculpture, and architecture from colonial times to the Armory Show of 1913 are examined, with particular attention given to problems of indigenous tradition. Lecture.</w:t>
            </w:r>
          </w:p>
        </w:tc>
        <w:tc>
          <w:tcPr>
            <w:tcW w:w="3840" w:type="dxa"/>
            <w:noWrap/>
          </w:tcPr>
          <w:p w14:paraId="51C7BE85" w14:textId="30B5EE1D" w:rsidR="00F64260" w:rsidRPr="009F029C" w:rsidRDefault="002D7101" w:rsidP="001429AA">
            <w:pPr>
              <w:spacing w:line="240" w:lineRule="auto"/>
              <w:rPr>
                <w:b/>
              </w:rPr>
            </w:pPr>
            <w:r>
              <w:rPr>
                <w:rFonts w:ascii="Arial" w:hAnsi="Arial" w:cs="Arial"/>
                <w:color w:val="444444"/>
                <w:sz w:val="20"/>
                <w:szCs w:val="20"/>
                <w:shd w:val="clear" w:color="auto" w:fill="FFFFFF"/>
              </w:rPr>
              <w:t>Students examine p</w:t>
            </w:r>
            <w:r w:rsidR="005123F2" w:rsidRPr="002E7491">
              <w:rPr>
                <w:rFonts w:ascii="Arial" w:hAnsi="Arial" w:cs="Arial"/>
                <w:color w:val="444444"/>
                <w:sz w:val="20"/>
                <w:szCs w:val="20"/>
                <w:shd w:val="clear" w:color="auto" w:fill="FFFFFF"/>
              </w:rPr>
              <w:t>ainting, sculpture, architecture</w:t>
            </w:r>
            <w:r w:rsidR="005123F2">
              <w:rPr>
                <w:rFonts w:ascii="Arial" w:hAnsi="Arial" w:cs="Arial"/>
                <w:color w:val="444444"/>
                <w:sz w:val="20"/>
                <w:szCs w:val="20"/>
                <w:shd w:val="clear" w:color="auto" w:fill="FFFFFF"/>
              </w:rPr>
              <w:t xml:space="preserve">, and visual culture from ancient times </w:t>
            </w:r>
            <w:r w:rsidR="005123F2" w:rsidRPr="002E7491">
              <w:rPr>
                <w:rFonts w:ascii="Arial" w:hAnsi="Arial" w:cs="Arial"/>
                <w:color w:val="444444"/>
                <w:sz w:val="20"/>
                <w:szCs w:val="20"/>
                <w:shd w:val="clear" w:color="auto" w:fill="FFFFFF"/>
              </w:rPr>
              <w:t xml:space="preserve">to </w:t>
            </w:r>
            <w:r w:rsidR="005123F2">
              <w:rPr>
                <w:rFonts w:ascii="Arial" w:hAnsi="Arial" w:cs="Arial"/>
                <w:color w:val="444444"/>
                <w:sz w:val="20"/>
                <w:szCs w:val="20"/>
                <w:shd w:val="clear" w:color="auto" w:fill="FFFFFF"/>
              </w:rPr>
              <w:t>1920</w:t>
            </w:r>
            <w:r w:rsidR="005123F2" w:rsidRPr="002E7491">
              <w:rPr>
                <w:rFonts w:ascii="Arial" w:hAnsi="Arial" w:cs="Arial"/>
                <w:color w:val="444444"/>
                <w:sz w:val="20"/>
                <w:szCs w:val="20"/>
                <w:shd w:val="clear" w:color="auto" w:fill="FFFFFF"/>
              </w:rPr>
              <w:t xml:space="preserve">. </w:t>
            </w:r>
            <w:r w:rsidR="005123F2" w:rsidRPr="00AC2B12">
              <w:rPr>
                <w:rFonts w:ascii="Arial" w:hAnsi="Arial" w:cs="Arial"/>
                <w:color w:val="444444"/>
                <w:sz w:val="20"/>
                <w:szCs w:val="20"/>
                <w:shd w:val="clear" w:color="auto" w:fill="FFFFFF"/>
              </w:rPr>
              <w:t>The course may be repeated fo</w:t>
            </w:r>
            <w:r w:rsidR="005123F2">
              <w:rPr>
                <w:rFonts w:ascii="Arial" w:hAnsi="Arial" w:cs="Arial"/>
                <w:color w:val="444444"/>
                <w:sz w:val="20"/>
                <w:szCs w:val="20"/>
                <w:shd w:val="clear" w:color="auto" w:fill="FFFFFF"/>
              </w:rPr>
              <w:t>r credit with a change in topic</w:t>
            </w:r>
            <w:r w:rsidR="005123F2" w:rsidRPr="002E7491">
              <w:rPr>
                <w:rFonts w:ascii="Arial" w:hAnsi="Arial" w:cs="Arial"/>
                <w:color w:val="444444"/>
                <w:sz w:val="20"/>
                <w:szCs w:val="20"/>
                <w:shd w:val="clear" w:color="auto" w:fill="FFFFFF"/>
              </w:rPr>
              <w:t>.</w:t>
            </w:r>
          </w:p>
        </w:tc>
      </w:tr>
      <w:tr w:rsidR="00F64260" w:rsidRPr="006E3AF2" w14:paraId="6B87DAE3" w14:textId="77777777" w:rsidTr="00E3737C">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E3737C">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0E79858" w:rsidR="00F64260" w:rsidRPr="009F029C" w:rsidRDefault="00F64260" w:rsidP="002D7101">
            <w:pPr>
              <w:spacing w:line="240" w:lineRule="auto"/>
              <w:rPr>
                <w:b/>
                <w:sz w:val="20"/>
              </w:rPr>
            </w:pPr>
          </w:p>
        </w:tc>
        <w:tc>
          <w:tcPr>
            <w:tcW w:w="3840" w:type="dxa"/>
            <w:noWrap/>
          </w:tcPr>
          <w:p w14:paraId="67D1137F" w14:textId="35F8742D" w:rsidR="00F64260" w:rsidRPr="009F029C" w:rsidRDefault="00F64260" w:rsidP="002D7101">
            <w:pPr>
              <w:spacing w:line="240" w:lineRule="auto"/>
              <w:rPr>
                <w:b/>
                <w:sz w:val="20"/>
              </w:rPr>
            </w:pPr>
          </w:p>
        </w:tc>
      </w:tr>
      <w:tr w:rsidR="00F64260" w:rsidRPr="006E3AF2" w14:paraId="12464B8B" w14:textId="77777777" w:rsidTr="00E3737C">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E3737C">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E3737C">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E3737C">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88D1AEC" w:rsidR="00F64260" w:rsidRPr="009F029C" w:rsidRDefault="00F64260" w:rsidP="005123F2">
            <w:pPr>
              <w:spacing w:line="240" w:lineRule="auto"/>
              <w:rPr>
                <w:b/>
                <w:sz w:val="20"/>
              </w:rPr>
            </w:pPr>
          </w:p>
        </w:tc>
        <w:tc>
          <w:tcPr>
            <w:tcW w:w="3840" w:type="dxa"/>
            <w:noWrap/>
          </w:tcPr>
          <w:p w14:paraId="2CF717EE" w14:textId="625095BB" w:rsidR="00F64260" w:rsidRPr="009F029C" w:rsidRDefault="00F64260" w:rsidP="005123F2">
            <w:pPr>
              <w:spacing w:line="240" w:lineRule="auto"/>
              <w:rPr>
                <w:b/>
                <w:sz w:val="20"/>
              </w:rPr>
            </w:pPr>
          </w:p>
        </w:tc>
      </w:tr>
      <w:tr w:rsidR="00F64260" w:rsidRPr="006E3AF2" w14:paraId="66DAB74D" w14:textId="77777777" w:rsidTr="00E3737C">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684EB077" w:rsidR="00F64260" w:rsidRPr="009F029C" w:rsidRDefault="00F64260" w:rsidP="005123F2">
            <w:pPr>
              <w:spacing w:line="240" w:lineRule="auto"/>
              <w:rPr>
                <w:b/>
                <w:sz w:val="20"/>
              </w:rPr>
            </w:pPr>
            <w:bookmarkStart w:id="20" w:name="instr_methods"/>
            <w:bookmarkEnd w:id="20"/>
          </w:p>
        </w:tc>
        <w:tc>
          <w:tcPr>
            <w:tcW w:w="3840" w:type="dxa"/>
            <w:noWrap/>
          </w:tcPr>
          <w:p w14:paraId="27D66483" w14:textId="2573B0C1" w:rsidR="00F64260" w:rsidRPr="009F029C" w:rsidRDefault="00F64260" w:rsidP="005123F2">
            <w:pPr>
              <w:spacing w:line="240" w:lineRule="auto"/>
              <w:rPr>
                <w:b/>
                <w:sz w:val="20"/>
              </w:rPr>
            </w:pPr>
            <w:r w:rsidRPr="009F029C">
              <w:rPr>
                <w:b/>
                <w:sz w:val="20"/>
              </w:rPr>
              <w:t xml:space="preserve"> </w:t>
            </w:r>
          </w:p>
        </w:tc>
      </w:tr>
      <w:tr w:rsidR="00F64260" w:rsidRPr="006E3AF2" w14:paraId="40E0E48F" w14:textId="77777777" w:rsidTr="00E3737C">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30346B56" w:rsidR="00F64260" w:rsidRPr="009F029C" w:rsidRDefault="00F64260" w:rsidP="00CD2B03">
            <w:pPr>
              <w:spacing w:line="240" w:lineRule="auto"/>
              <w:rPr>
                <w:b/>
                <w:sz w:val="20"/>
              </w:rPr>
            </w:pPr>
            <w:bookmarkStart w:id="21" w:name="required"/>
            <w:bookmarkEnd w:id="21"/>
          </w:p>
        </w:tc>
        <w:tc>
          <w:tcPr>
            <w:tcW w:w="3840" w:type="dxa"/>
            <w:noWrap/>
          </w:tcPr>
          <w:p w14:paraId="442E5788" w14:textId="24E99636" w:rsidR="00CD2B03" w:rsidRPr="009F029C" w:rsidRDefault="00CD2B03" w:rsidP="00CD2B03">
            <w:pPr>
              <w:spacing w:line="240" w:lineRule="auto"/>
              <w:rPr>
                <w:b/>
                <w:sz w:val="20"/>
              </w:rPr>
            </w:pPr>
          </w:p>
        </w:tc>
      </w:tr>
      <w:tr w:rsidR="00F64260" w:rsidRPr="006E3AF2" w14:paraId="4F77409C" w14:textId="77777777" w:rsidTr="00E3737C">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1609846A" w:rsidR="00F64260" w:rsidRPr="009F029C" w:rsidRDefault="00F3256C" w:rsidP="001429AA">
            <w:pPr>
              <w:spacing w:line="240" w:lineRule="auto"/>
              <w:rPr>
                <w:b/>
              </w:rPr>
            </w:pPr>
            <w:r>
              <w:rPr>
                <w:b/>
              </w:rPr>
              <w:t>NO</w:t>
            </w:r>
          </w:p>
        </w:tc>
        <w:tc>
          <w:tcPr>
            <w:tcW w:w="3840" w:type="dxa"/>
            <w:noWrap/>
          </w:tcPr>
          <w:p w14:paraId="41CF798F" w14:textId="062996BA" w:rsidR="00F64260" w:rsidRPr="009F029C" w:rsidRDefault="00F3256C" w:rsidP="001429AA">
            <w:pPr>
              <w:spacing w:line="240" w:lineRule="auto"/>
              <w:rPr>
                <w:b/>
              </w:rPr>
            </w:pPr>
            <w:r>
              <w:rPr>
                <w:b/>
              </w:rPr>
              <w:t>NO</w:t>
            </w:r>
          </w:p>
        </w:tc>
      </w:tr>
      <w:tr w:rsidR="00F64260" w:rsidRPr="006E3AF2" w14:paraId="3A6D1D6E" w14:textId="77777777" w:rsidTr="00E3737C">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63CA6D6B" w14:textId="0488043D" w:rsidR="00984B36" w:rsidRDefault="00F3256C" w:rsidP="001A51ED">
            <w:pPr>
              <w:rPr>
                <w:rFonts w:ascii="MS Mincho" w:eastAsia="MS Mincho" w:hAnsi="MS Mincho" w:cs="MS Mincho"/>
                <w:b/>
                <w:sz w:val="20"/>
              </w:rPr>
            </w:pPr>
            <w:bookmarkStart w:id="22" w:name="ge"/>
            <w:bookmarkEnd w:id="22"/>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71174125" w:rsidR="00F64260" w:rsidRPr="009F029C" w:rsidRDefault="00F64260" w:rsidP="001A51ED">
            <w:pPr>
              <w:rPr>
                <w:b/>
                <w:sz w:val="20"/>
              </w:rPr>
            </w:pPr>
          </w:p>
        </w:tc>
        <w:tc>
          <w:tcPr>
            <w:tcW w:w="3840" w:type="dxa"/>
            <w:noWrap/>
          </w:tcPr>
          <w:p w14:paraId="411B25D5" w14:textId="242B0FFF"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23115E50" w:rsidR="00F64260" w:rsidRPr="009F029C" w:rsidRDefault="00F64260" w:rsidP="001429AA">
            <w:pPr>
              <w:spacing w:line="240" w:lineRule="auto"/>
              <w:rPr>
                <w:b/>
                <w:sz w:val="20"/>
              </w:rPr>
            </w:pPr>
          </w:p>
        </w:tc>
      </w:tr>
      <w:tr w:rsidR="00F64260" w:rsidRPr="006E3AF2" w14:paraId="7309520B" w14:textId="77777777" w:rsidTr="00E3737C">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2285427" w:rsidR="00F64260" w:rsidRPr="009F029C" w:rsidRDefault="00F64260" w:rsidP="002D7101">
            <w:pPr>
              <w:spacing w:line="240" w:lineRule="auto"/>
              <w:rPr>
                <w:b/>
                <w:sz w:val="20"/>
              </w:rPr>
            </w:pPr>
            <w:bookmarkStart w:id="23" w:name="performance"/>
            <w:bookmarkEnd w:id="23"/>
          </w:p>
        </w:tc>
        <w:tc>
          <w:tcPr>
            <w:tcW w:w="3840" w:type="dxa"/>
            <w:noWrap/>
          </w:tcPr>
          <w:p w14:paraId="33AC4615" w14:textId="46361C54" w:rsidR="00F64260" w:rsidRPr="009F029C" w:rsidRDefault="00F64260" w:rsidP="00FA769F">
            <w:pPr>
              <w:spacing w:line="240" w:lineRule="auto"/>
              <w:rPr>
                <w:b/>
                <w:sz w:val="20"/>
              </w:rPr>
            </w:pPr>
          </w:p>
        </w:tc>
      </w:tr>
      <w:tr w:rsidR="00F64260" w:rsidRPr="006E3AF2" w14:paraId="071E0CC5" w14:textId="77777777" w:rsidTr="00E3737C">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E3737C">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r w:rsidR="00E3737C" w14:paraId="338ED899" w14:textId="77777777" w:rsidTr="00E3737C">
        <w:trPr>
          <w:tblHeader/>
        </w:trPr>
        <w:tc>
          <w:tcPr>
            <w:tcW w:w="10780" w:type="dxa"/>
            <w:gridSpan w:val="3"/>
          </w:tcPr>
          <w:p w14:paraId="1D7884E4" w14:textId="77777777" w:rsidR="00E3737C" w:rsidRDefault="00E3737C" w:rsidP="00C1742C">
            <w:pPr>
              <w:keepNext/>
              <w:spacing w:line="240" w:lineRule="auto"/>
            </w:pPr>
            <w:r>
              <w:t xml:space="preserve">B.20.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F42F5D">
              <w:rPr>
                <w:rStyle w:val="Hyperlink"/>
                <w:b/>
                <w:color w:val="FF0000"/>
              </w:rPr>
              <w:t xml:space="preserve">DO NOT INSERT WHOLE SYLLABUS, JUST A TWO-TIER </w:t>
            </w:r>
            <w:r>
              <w:rPr>
                <w:rStyle w:val="Hyperlink"/>
                <w:b/>
                <w:color w:val="FF0000"/>
              </w:rPr>
              <w:t xml:space="preserve">TOPIC </w:t>
            </w:r>
            <w:r w:rsidRPr="00F42F5D">
              <w:rPr>
                <w:rStyle w:val="Hyperlink"/>
                <w:b/>
                <w:color w:val="FF0000"/>
              </w:rPr>
              <w:t>OUTLINE</w:t>
            </w:r>
            <w:r>
              <w:rPr>
                <w:rStyle w:val="Hyperlink"/>
                <w:b/>
                <w:color w:val="FF0000"/>
              </w:rPr>
              <w:t>. Proposals that ignore this request will be returned for revision.</w:t>
            </w:r>
          </w:p>
        </w:tc>
      </w:tr>
      <w:tr w:rsidR="00E3737C" w14:paraId="1C120D60" w14:textId="77777777" w:rsidTr="00E3737C">
        <w:tc>
          <w:tcPr>
            <w:tcW w:w="10780" w:type="dxa"/>
            <w:gridSpan w:val="3"/>
          </w:tcPr>
          <w:p w14:paraId="0BFED916" w14:textId="77777777" w:rsidR="00E3737C" w:rsidRDefault="00E3737C" w:rsidP="00E3737C">
            <w:pPr>
              <w:pStyle w:val="NormalWeb"/>
              <w:spacing w:before="0" w:beforeAutospacing="0" w:after="0" w:afterAutospacing="0"/>
            </w:pPr>
            <w:bookmarkStart w:id="25" w:name="outline"/>
            <w:bookmarkEnd w:id="25"/>
            <w:r>
              <w:t xml:space="preserve">Examples of some different versions might be: </w:t>
            </w:r>
          </w:p>
          <w:p w14:paraId="4546FA4B" w14:textId="5F2AE778" w:rsidR="00E3737C" w:rsidRPr="00E3737C" w:rsidRDefault="00E3737C" w:rsidP="00E3737C">
            <w:pPr>
              <w:pStyle w:val="NormalWeb"/>
              <w:spacing w:before="0" w:beforeAutospacing="0" w:after="0" w:afterAutospacing="0"/>
              <w:rPr>
                <w:rFonts w:ascii="Calibri" w:hAnsi="Calibri" w:cs="Calibri"/>
                <w:b/>
                <w:color w:val="000000"/>
              </w:rPr>
            </w:pPr>
            <w:r w:rsidRPr="00E3737C">
              <w:rPr>
                <w:rFonts w:ascii="Arial" w:hAnsi="Arial" w:cs="Arial"/>
                <w:b/>
                <w:color w:val="000000"/>
                <w:sz w:val="22"/>
                <w:szCs w:val="22"/>
              </w:rPr>
              <w:t>Native North American art and architecture: chronological and by region</w:t>
            </w:r>
          </w:p>
          <w:p w14:paraId="4EFCDA06" w14:textId="77777777" w:rsidR="00E3737C" w:rsidRDefault="00E3737C" w:rsidP="00E3737C">
            <w:pPr>
              <w:pStyle w:val="NormalWeb"/>
              <w:numPr>
                <w:ilvl w:val="0"/>
                <w:numId w:val="1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Pre-historic cultures: Clovis, </w:t>
            </w:r>
            <w:proofErr w:type="spellStart"/>
            <w:r>
              <w:rPr>
                <w:rFonts w:ascii="Arial" w:hAnsi="Arial" w:cs="Arial"/>
                <w:color w:val="000000"/>
                <w:sz w:val="22"/>
                <w:szCs w:val="22"/>
              </w:rPr>
              <w:t>Moundbuilders</w:t>
            </w:r>
            <w:proofErr w:type="spellEnd"/>
            <w:r>
              <w:rPr>
                <w:rFonts w:ascii="Arial" w:hAnsi="Arial" w:cs="Arial"/>
                <w:color w:val="000000"/>
                <w:sz w:val="22"/>
                <w:szCs w:val="22"/>
              </w:rPr>
              <w:t>, Olmec, Maya, Puebloan, Aztec</w:t>
            </w:r>
          </w:p>
          <w:p w14:paraId="5544FCA8" w14:textId="77777777" w:rsidR="00E3737C" w:rsidRDefault="00E3737C" w:rsidP="00E3737C">
            <w:pPr>
              <w:pStyle w:val="NormalWeb"/>
              <w:numPr>
                <w:ilvl w:val="0"/>
                <w:numId w:val="12"/>
              </w:numPr>
              <w:spacing w:before="0" w:beforeAutospacing="0" w:after="0" w:afterAutospacing="0"/>
              <w:rPr>
                <w:rFonts w:ascii="Arial" w:hAnsi="Arial" w:cs="Arial"/>
                <w:color w:val="000000"/>
                <w:sz w:val="22"/>
                <w:szCs w:val="22"/>
              </w:rPr>
            </w:pPr>
            <w:r>
              <w:rPr>
                <w:rFonts w:ascii="Arial" w:hAnsi="Arial" w:cs="Arial"/>
                <w:color w:val="000000"/>
                <w:sz w:val="22"/>
                <w:szCs w:val="22"/>
              </w:rPr>
              <w:t>Early Colonial periods: New Spain (colonial Mexico), Florida, Louisiana, Atlantic coast</w:t>
            </w:r>
          </w:p>
          <w:p w14:paraId="529DA920" w14:textId="77777777" w:rsidR="00E3737C" w:rsidRDefault="00E3737C" w:rsidP="00E3737C">
            <w:pPr>
              <w:pStyle w:val="NormalWeb"/>
              <w:numPr>
                <w:ilvl w:val="0"/>
                <w:numId w:val="12"/>
              </w:numPr>
              <w:spacing w:before="0" w:beforeAutospacing="0" w:after="0" w:afterAutospacing="0"/>
              <w:rPr>
                <w:rFonts w:ascii="Arial" w:hAnsi="Arial" w:cs="Arial"/>
                <w:color w:val="000000"/>
                <w:sz w:val="22"/>
                <w:szCs w:val="22"/>
              </w:rPr>
            </w:pPr>
            <w:r>
              <w:rPr>
                <w:rFonts w:ascii="Arial" w:hAnsi="Arial" w:cs="Arial"/>
                <w:color w:val="000000"/>
                <w:sz w:val="22"/>
                <w:szCs w:val="22"/>
              </w:rPr>
              <w:t>After 1600: East, West, Southwest, Northwest coast</w:t>
            </w:r>
          </w:p>
          <w:p w14:paraId="680D5A7D" w14:textId="3045DB28" w:rsidR="00E3737C" w:rsidRPr="00E3737C" w:rsidRDefault="00E3737C" w:rsidP="00E3737C">
            <w:pPr>
              <w:pStyle w:val="NormalWeb"/>
              <w:numPr>
                <w:ilvl w:val="0"/>
                <w:numId w:val="12"/>
              </w:numPr>
              <w:spacing w:before="0" w:beforeAutospacing="0" w:after="0" w:afterAutospacing="0"/>
              <w:rPr>
                <w:rFonts w:ascii="Arial" w:hAnsi="Arial" w:cs="Arial"/>
                <w:color w:val="000000"/>
                <w:sz w:val="22"/>
                <w:szCs w:val="22"/>
              </w:rPr>
            </w:pPr>
            <w:r>
              <w:rPr>
                <w:rFonts w:ascii="Arial" w:hAnsi="Arial" w:cs="Arial"/>
                <w:color w:val="000000"/>
                <w:sz w:val="22"/>
                <w:szCs w:val="22"/>
              </w:rPr>
              <w:t>Contemporary Native American art</w:t>
            </w:r>
          </w:p>
          <w:p w14:paraId="63555E2D" w14:textId="77777777" w:rsidR="00E3737C" w:rsidRPr="00E3737C" w:rsidRDefault="00E3737C" w:rsidP="00E3737C">
            <w:pPr>
              <w:pStyle w:val="NormalWeb"/>
              <w:spacing w:before="0" w:beforeAutospacing="0" w:after="0" w:afterAutospacing="0"/>
              <w:rPr>
                <w:rFonts w:ascii="Calibri" w:hAnsi="Calibri" w:cs="Calibri"/>
                <w:b/>
                <w:color w:val="000000"/>
              </w:rPr>
            </w:pPr>
            <w:r w:rsidRPr="00E3737C">
              <w:rPr>
                <w:rFonts w:ascii="Arial" w:hAnsi="Arial" w:cs="Arial"/>
                <w:b/>
                <w:color w:val="000000"/>
                <w:sz w:val="22"/>
                <w:szCs w:val="22"/>
              </w:rPr>
              <w:t>African American artists and subjects</w:t>
            </w:r>
          </w:p>
          <w:p w14:paraId="5D0ACC59" w14:textId="77777777" w:rsidR="00E3737C" w:rsidRDefault="00E3737C" w:rsidP="00E3737C">
            <w:pPr>
              <w:pStyle w:val="NormalWeb"/>
              <w:numPr>
                <w:ilvl w:val="0"/>
                <w:numId w:val="13"/>
              </w:numPr>
              <w:spacing w:before="0" w:beforeAutospacing="0" w:after="0" w:afterAutospacing="0"/>
              <w:rPr>
                <w:rFonts w:ascii="Arial" w:hAnsi="Arial" w:cs="Arial"/>
                <w:color w:val="000000"/>
                <w:sz w:val="22"/>
                <w:szCs w:val="22"/>
              </w:rPr>
            </w:pPr>
            <w:r>
              <w:rPr>
                <w:rFonts w:ascii="Arial" w:hAnsi="Arial" w:cs="Arial"/>
                <w:color w:val="000000"/>
                <w:sz w:val="22"/>
                <w:szCs w:val="22"/>
              </w:rPr>
              <w:t>Colonial arts and crafts</w:t>
            </w:r>
          </w:p>
          <w:p w14:paraId="024E50AC" w14:textId="77777777" w:rsidR="00E3737C" w:rsidRDefault="00E3737C" w:rsidP="00E3737C">
            <w:pPr>
              <w:pStyle w:val="NormalWeb"/>
              <w:numPr>
                <w:ilvl w:val="0"/>
                <w:numId w:val="13"/>
              </w:numPr>
              <w:spacing w:before="0" w:beforeAutospacing="0" w:after="0" w:afterAutospacing="0"/>
              <w:rPr>
                <w:rFonts w:ascii="Arial" w:hAnsi="Arial" w:cs="Arial"/>
                <w:color w:val="000000"/>
                <w:sz w:val="22"/>
                <w:szCs w:val="22"/>
              </w:rPr>
            </w:pPr>
            <w:r>
              <w:rPr>
                <w:rFonts w:ascii="Arial" w:hAnsi="Arial" w:cs="Arial"/>
                <w:color w:val="000000"/>
                <w:sz w:val="22"/>
                <w:szCs w:val="22"/>
              </w:rPr>
              <w:t>19th century artists </w:t>
            </w:r>
          </w:p>
          <w:p w14:paraId="7CDFA8DC" w14:textId="24952133" w:rsidR="00E3737C" w:rsidRPr="00E3737C" w:rsidRDefault="00E3737C" w:rsidP="00E3737C">
            <w:pPr>
              <w:pStyle w:val="NormalWeb"/>
              <w:numPr>
                <w:ilvl w:val="0"/>
                <w:numId w:val="13"/>
              </w:numPr>
              <w:spacing w:before="0" w:beforeAutospacing="0" w:after="0" w:afterAutospacing="0"/>
              <w:rPr>
                <w:rFonts w:ascii="Arial" w:hAnsi="Arial" w:cs="Arial"/>
                <w:color w:val="000000"/>
                <w:sz w:val="22"/>
                <w:szCs w:val="22"/>
              </w:rPr>
            </w:pPr>
            <w:r>
              <w:rPr>
                <w:rFonts w:ascii="Arial" w:hAnsi="Arial" w:cs="Arial"/>
                <w:color w:val="000000"/>
                <w:sz w:val="22"/>
                <w:szCs w:val="22"/>
              </w:rPr>
              <w:t>Images of African Americans</w:t>
            </w:r>
          </w:p>
          <w:p w14:paraId="2B5DFBA1" w14:textId="77777777" w:rsidR="00E3737C" w:rsidRPr="00E3737C" w:rsidRDefault="00E3737C" w:rsidP="00E3737C">
            <w:pPr>
              <w:pStyle w:val="NormalWeb"/>
              <w:spacing w:before="0" w:beforeAutospacing="0" w:after="0" w:afterAutospacing="0"/>
              <w:rPr>
                <w:rFonts w:ascii="Calibri" w:hAnsi="Calibri" w:cs="Calibri"/>
                <w:b/>
                <w:color w:val="000000"/>
              </w:rPr>
            </w:pPr>
            <w:r w:rsidRPr="00E3737C">
              <w:rPr>
                <w:rFonts w:ascii="Arial" w:hAnsi="Arial" w:cs="Arial"/>
                <w:b/>
                <w:color w:val="000000"/>
                <w:sz w:val="22"/>
                <w:szCs w:val="22"/>
              </w:rPr>
              <w:t>American art &amp; war</w:t>
            </w:r>
          </w:p>
          <w:p w14:paraId="4F8B2521" w14:textId="77777777" w:rsidR="00E3737C" w:rsidRDefault="00E3737C" w:rsidP="00E3737C">
            <w:pPr>
              <w:pStyle w:val="NormalWeb"/>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t>Colonial wars (e.g. French &amp; Indian War)</w:t>
            </w:r>
          </w:p>
          <w:p w14:paraId="281C546E" w14:textId="77777777" w:rsidR="00E3737C" w:rsidRDefault="00E3737C" w:rsidP="00E3737C">
            <w:pPr>
              <w:pStyle w:val="NormalWeb"/>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t>Revolutionary War</w:t>
            </w:r>
          </w:p>
          <w:p w14:paraId="61DFD9F3" w14:textId="77777777" w:rsidR="00E3737C" w:rsidRDefault="00E3737C" w:rsidP="00E3737C">
            <w:pPr>
              <w:pStyle w:val="NormalWeb"/>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t>War of 1812</w:t>
            </w:r>
          </w:p>
          <w:p w14:paraId="63B91EE2" w14:textId="77777777" w:rsidR="00E3737C" w:rsidRDefault="00E3737C" w:rsidP="00E3737C">
            <w:pPr>
              <w:pStyle w:val="NormalWeb"/>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t>Civil War</w:t>
            </w:r>
          </w:p>
          <w:p w14:paraId="48444502" w14:textId="1B92DDA7" w:rsidR="00E3737C" w:rsidRPr="00E3737C" w:rsidRDefault="00E3737C" w:rsidP="00E3737C">
            <w:pPr>
              <w:pStyle w:val="NormalWeb"/>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World War I</w:t>
            </w:r>
          </w:p>
          <w:p w14:paraId="7E1848CC" w14:textId="77777777" w:rsidR="00E3737C" w:rsidRPr="00E3737C" w:rsidRDefault="00E3737C" w:rsidP="00E3737C">
            <w:pPr>
              <w:pStyle w:val="NormalWeb"/>
              <w:spacing w:before="0" w:beforeAutospacing="0" w:after="0" w:afterAutospacing="0"/>
              <w:rPr>
                <w:rFonts w:ascii="Calibri" w:hAnsi="Calibri" w:cs="Calibri"/>
                <w:b/>
                <w:color w:val="000000"/>
              </w:rPr>
            </w:pPr>
            <w:r w:rsidRPr="00E3737C">
              <w:rPr>
                <w:rFonts w:ascii="Arial" w:hAnsi="Arial" w:cs="Arial"/>
                <w:b/>
                <w:color w:val="000000"/>
                <w:sz w:val="22"/>
                <w:szCs w:val="22"/>
              </w:rPr>
              <w:t>This Land: Images of America’s Natural World</w:t>
            </w:r>
          </w:p>
          <w:p w14:paraId="04ADA99B" w14:textId="77777777" w:rsidR="00E3737C" w:rsidRDefault="00E3737C" w:rsidP="00E3737C">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Native American landscape art: From </w:t>
            </w:r>
            <w:proofErr w:type="spellStart"/>
            <w:r>
              <w:rPr>
                <w:rFonts w:ascii="Arial" w:hAnsi="Arial" w:cs="Arial"/>
                <w:color w:val="000000"/>
                <w:sz w:val="22"/>
                <w:szCs w:val="22"/>
              </w:rPr>
              <w:t>Moundbuilders</w:t>
            </w:r>
            <w:proofErr w:type="spellEnd"/>
            <w:r>
              <w:rPr>
                <w:rFonts w:ascii="Arial" w:hAnsi="Arial" w:cs="Arial"/>
                <w:color w:val="000000"/>
                <w:sz w:val="22"/>
                <w:szCs w:val="22"/>
              </w:rPr>
              <w:t xml:space="preserve"> to wall painting</w:t>
            </w:r>
          </w:p>
          <w:p w14:paraId="15505D94" w14:textId="77777777" w:rsidR="00E3737C" w:rsidRDefault="00E3737C" w:rsidP="00E3737C">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American Flora and Fauna: still life and portrait props</w:t>
            </w:r>
          </w:p>
          <w:p w14:paraId="4722A811" w14:textId="77777777" w:rsidR="00E3737C" w:rsidRDefault="00E3737C" w:rsidP="00E3737C">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Rise of the Hudson River School and Landscape painting</w:t>
            </w:r>
          </w:p>
          <w:p w14:paraId="179681F3" w14:textId="77777777" w:rsidR="00E3737C" w:rsidRDefault="00E3737C" w:rsidP="00E3737C">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Manifest Destiny and the West</w:t>
            </w:r>
          </w:p>
          <w:p w14:paraId="0403FEBA" w14:textId="77777777" w:rsidR="00E3737C" w:rsidRDefault="00E3737C" w:rsidP="00E3737C">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The African American landscape</w:t>
            </w:r>
          </w:p>
          <w:p w14:paraId="1CA7D79E" w14:textId="76F22A00" w:rsidR="00E3737C" w:rsidRPr="00E3737C" w:rsidRDefault="00E3737C" w:rsidP="00E3737C">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Coastal Impressions: Seascapes</w:t>
            </w:r>
          </w:p>
          <w:p w14:paraId="6E07841D" w14:textId="77777777" w:rsidR="00E3737C" w:rsidRPr="00E3737C" w:rsidRDefault="00E3737C" w:rsidP="00E3737C">
            <w:pPr>
              <w:pStyle w:val="NormalWeb"/>
              <w:spacing w:before="0" w:beforeAutospacing="0" w:after="0" w:afterAutospacing="0"/>
              <w:rPr>
                <w:rFonts w:ascii="Calibri" w:hAnsi="Calibri" w:cs="Calibri"/>
                <w:b/>
                <w:color w:val="000000"/>
              </w:rPr>
            </w:pPr>
            <w:r w:rsidRPr="00E3737C">
              <w:rPr>
                <w:rFonts w:ascii="Arial" w:hAnsi="Arial" w:cs="Arial"/>
                <w:b/>
                <w:color w:val="000000"/>
                <w:sz w:val="22"/>
                <w:szCs w:val="22"/>
              </w:rPr>
              <w:t>Latin American </w:t>
            </w:r>
          </w:p>
          <w:p w14:paraId="316443D2" w14:textId="77777777" w:rsidR="00E3737C" w:rsidRDefault="00E3737C" w:rsidP="00E3737C">
            <w:pPr>
              <w:pStyle w:val="NormalWeb"/>
              <w:numPr>
                <w:ilvl w:val="0"/>
                <w:numId w:val="16"/>
              </w:numPr>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Mezoamerica</w:t>
            </w:r>
            <w:proofErr w:type="spellEnd"/>
            <w:r>
              <w:rPr>
                <w:rFonts w:ascii="Arial" w:hAnsi="Arial" w:cs="Arial"/>
                <w:color w:val="000000"/>
                <w:sz w:val="22"/>
                <w:szCs w:val="22"/>
              </w:rPr>
              <w:t xml:space="preserve"> from Olmec to Aztec</w:t>
            </w:r>
          </w:p>
          <w:p w14:paraId="6E8AAFB8" w14:textId="77777777" w:rsidR="00E3737C" w:rsidRDefault="00E3737C" w:rsidP="00E3737C">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Inca Empire</w:t>
            </w:r>
          </w:p>
          <w:p w14:paraId="59841D47" w14:textId="77777777" w:rsidR="00E3737C" w:rsidRDefault="00E3737C" w:rsidP="00E3737C">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First encounters and colonial arts</w:t>
            </w:r>
          </w:p>
          <w:p w14:paraId="3C641B50" w14:textId="77777777" w:rsidR="00E3737C" w:rsidRDefault="00E3737C" w:rsidP="00E3737C">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New Spain and Viceroyalty of Peru</w:t>
            </w:r>
          </w:p>
          <w:p w14:paraId="6778A2D4" w14:textId="77777777" w:rsidR="00E3737C" w:rsidRDefault="00E3737C" w:rsidP="00E3737C">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Asian and African influences</w:t>
            </w:r>
          </w:p>
          <w:p w14:paraId="1A0B85E5" w14:textId="77777777" w:rsidR="00E3737C" w:rsidRDefault="00E3737C" w:rsidP="00E3737C">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Colonial Baroque Architecture</w:t>
            </w:r>
          </w:p>
          <w:p w14:paraId="471C64BA" w14:textId="77777777" w:rsidR="00E3737C" w:rsidRDefault="00E3737C" w:rsidP="00E3737C">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Catholic devotional arts</w:t>
            </w:r>
          </w:p>
          <w:p w14:paraId="6D313328" w14:textId="77845A49" w:rsidR="00E3737C" w:rsidRPr="00E3737C" w:rsidRDefault="00E3737C" w:rsidP="00E3737C">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Racial </w:t>
            </w:r>
            <w:proofErr w:type="spellStart"/>
            <w:r>
              <w:rPr>
                <w:rFonts w:ascii="Arial" w:hAnsi="Arial" w:cs="Arial"/>
                <w:color w:val="000000"/>
                <w:sz w:val="22"/>
                <w:szCs w:val="22"/>
              </w:rPr>
              <w:t>classication</w:t>
            </w:r>
            <w:proofErr w:type="spellEnd"/>
          </w:p>
          <w:p w14:paraId="0B354459" w14:textId="77777777" w:rsidR="00E3737C" w:rsidRDefault="00E3737C" w:rsidP="00E3737C">
            <w:pPr>
              <w:pStyle w:val="NormalWeb"/>
              <w:spacing w:before="0" w:beforeAutospacing="0" w:after="0" w:afterAutospacing="0"/>
              <w:rPr>
                <w:rFonts w:ascii="Arial" w:hAnsi="Arial" w:cs="Arial"/>
                <w:color w:val="000000"/>
                <w:sz w:val="22"/>
                <w:szCs w:val="22"/>
              </w:rPr>
            </w:pPr>
            <w:r w:rsidRPr="00E3737C">
              <w:rPr>
                <w:rFonts w:ascii="Arial" w:hAnsi="Arial" w:cs="Arial"/>
                <w:b/>
                <w:color w:val="000000"/>
                <w:sz w:val="22"/>
                <w:szCs w:val="22"/>
              </w:rPr>
              <w:t>New England</w:t>
            </w:r>
            <w:r>
              <w:rPr>
                <w:rFonts w:ascii="Arial" w:hAnsi="Arial" w:cs="Arial"/>
                <w:color w:val="000000"/>
                <w:sz w:val="22"/>
                <w:szCs w:val="22"/>
              </w:rPr>
              <w:t xml:space="preserve"> </w:t>
            </w:r>
          </w:p>
          <w:p w14:paraId="7F989827" w14:textId="3DE5A60A" w:rsidR="00E3737C" w:rsidRPr="00E3737C" w:rsidRDefault="00E3737C" w:rsidP="00E3737C">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            </w:t>
            </w:r>
            <w:r>
              <w:rPr>
                <w:rFonts w:ascii="Arial" w:hAnsi="Arial" w:cs="Arial"/>
                <w:color w:val="000000"/>
                <w:sz w:val="22"/>
                <w:szCs w:val="22"/>
              </w:rPr>
              <w:t>seminar</w:t>
            </w:r>
            <w:r>
              <w:rPr>
                <w:rFonts w:ascii="Arial" w:hAnsi="Arial" w:cs="Arial"/>
                <w:color w:val="000000"/>
                <w:sz w:val="22"/>
                <w:szCs w:val="22"/>
              </w:rPr>
              <w:t xml:space="preserve"> on local art and architecture</w:t>
            </w:r>
            <w:bookmarkStart w:id="26" w:name="_GoBack"/>
            <w:bookmarkEnd w:id="26"/>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36649A">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36649A">
        <w:trPr>
          <w:cantSplit/>
          <w:trHeight w:val="489"/>
        </w:trPr>
        <w:tc>
          <w:tcPr>
            <w:tcW w:w="3170" w:type="dxa"/>
            <w:vAlign w:val="center"/>
          </w:tcPr>
          <w:p w14:paraId="2B0991B7" w14:textId="3F4B0980" w:rsidR="00115A68" w:rsidRDefault="0032280A" w:rsidP="0015571B">
            <w:pPr>
              <w:spacing w:line="240" w:lineRule="auto"/>
            </w:pPr>
            <w:r>
              <w:t>Doug Bosch</w:t>
            </w:r>
          </w:p>
        </w:tc>
        <w:tc>
          <w:tcPr>
            <w:tcW w:w="3254" w:type="dxa"/>
            <w:vAlign w:val="center"/>
          </w:tcPr>
          <w:p w14:paraId="2927DBCB" w14:textId="3CB83BF5" w:rsidR="00115A68" w:rsidRDefault="00115A68" w:rsidP="0015571B">
            <w:pPr>
              <w:spacing w:line="240" w:lineRule="auto"/>
            </w:pPr>
            <w:r>
              <w:t xml:space="preserve">Chair of </w:t>
            </w:r>
            <w:r w:rsidR="0032280A">
              <w:t>Art</w:t>
            </w:r>
          </w:p>
        </w:tc>
        <w:tc>
          <w:tcPr>
            <w:tcW w:w="3196"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36649A">
        <w:trPr>
          <w:cantSplit/>
          <w:trHeight w:val="489"/>
        </w:trPr>
        <w:tc>
          <w:tcPr>
            <w:tcW w:w="3170" w:type="dxa"/>
            <w:vAlign w:val="center"/>
          </w:tcPr>
          <w:p w14:paraId="6ED2A8A6" w14:textId="3526C94F" w:rsidR="00115A68" w:rsidRDefault="00595557" w:rsidP="0015571B">
            <w:pPr>
              <w:spacing w:line="240" w:lineRule="auto"/>
            </w:pPr>
            <w:r>
              <w:t>Earl Simson</w:t>
            </w:r>
          </w:p>
        </w:tc>
        <w:tc>
          <w:tcPr>
            <w:tcW w:w="3254" w:type="dxa"/>
            <w:vAlign w:val="center"/>
          </w:tcPr>
          <w:p w14:paraId="229CC930" w14:textId="2C05BAC9" w:rsidR="00115A68" w:rsidRDefault="00115A68" w:rsidP="0015571B">
            <w:pPr>
              <w:spacing w:line="240" w:lineRule="auto"/>
            </w:pPr>
            <w:r>
              <w:t xml:space="preserve">Dean of </w:t>
            </w:r>
            <w:r w:rsidR="00595557">
              <w:t>Faculty of Arts &amp;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72DB77C0"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8B9A" w14:textId="77777777" w:rsidR="004A03B4" w:rsidRDefault="004A03B4" w:rsidP="00FA78CA">
      <w:pPr>
        <w:spacing w:line="240" w:lineRule="auto"/>
      </w:pPr>
      <w:r>
        <w:separator/>
      </w:r>
    </w:p>
  </w:endnote>
  <w:endnote w:type="continuationSeparator" w:id="0">
    <w:p w14:paraId="633DCE5F" w14:textId="77777777" w:rsidR="004A03B4" w:rsidRDefault="004A03B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9555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95557">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DC7D" w14:textId="77777777" w:rsidR="004A03B4" w:rsidRDefault="004A03B4" w:rsidP="00FA78CA">
      <w:pPr>
        <w:spacing w:line="240" w:lineRule="auto"/>
      </w:pPr>
      <w:r>
        <w:separator/>
      </w:r>
    </w:p>
  </w:footnote>
  <w:footnote w:type="continuationSeparator" w:id="0">
    <w:p w14:paraId="42DC557F" w14:textId="77777777" w:rsidR="004A03B4" w:rsidRDefault="004A03B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337000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D7101">
      <w:rPr>
        <w:color w:val="4F6228"/>
      </w:rPr>
      <w:t>19-20-037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D7101">
      <w:rPr>
        <w:color w:val="4F6228"/>
      </w:rPr>
      <w:t>11/21/2019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7A3"/>
    <w:multiLevelType w:val="multilevel"/>
    <w:tmpl w:val="988C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F4C01"/>
    <w:multiLevelType w:val="multilevel"/>
    <w:tmpl w:val="EB68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9A41FE"/>
    <w:multiLevelType w:val="multilevel"/>
    <w:tmpl w:val="C31C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9542EE"/>
    <w:multiLevelType w:val="multilevel"/>
    <w:tmpl w:val="C048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C10DE2"/>
    <w:multiLevelType w:val="multilevel"/>
    <w:tmpl w:val="8F7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6"/>
  </w:num>
  <w:num w:numId="6">
    <w:abstractNumId w:val="12"/>
  </w:num>
  <w:num w:numId="7">
    <w:abstractNumId w:val="3"/>
  </w:num>
  <w:num w:numId="8">
    <w:abstractNumId w:val="7"/>
  </w:num>
  <w:num w:numId="9">
    <w:abstractNumId w:val="10"/>
  </w:num>
  <w:num w:numId="10">
    <w:abstractNumId w:val="5"/>
  </w:num>
  <w:num w:numId="11">
    <w:abstractNumId w:val="15"/>
  </w:num>
  <w:num w:numId="12">
    <w:abstractNumId w:val="1"/>
  </w:num>
  <w:num w:numId="13">
    <w:abstractNumId w:val="0"/>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2430"/>
    <w:rsid w:val="000A36CD"/>
    <w:rsid w:val="000C00BB"/>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2D85"/>
    <w:rsid w:val="001D5841"/>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7101"/>
    <w:rsid w:val="002F36B8"/>
    <w:rsid w:val="00310D95"/>
    <w:rsid w:val="0032280A"/>
    <w:rsid w:val="00345149"/>
    <w:rsid w:val="0036649A"/>
    <w:rsid w:val="00376A8B"/>
    <w:rsid w:val="003A45F6"/>
    <w:rsid w:val="003B4A52"/>
    <w:rsid w:val="003C1A54"/>
    <w:rsid w:val="003C511E"/>
    <w:rsid w:val="003D7372"/>
    <w:rsid w:val="003F099C"/>
    <w:rsid w:val="003F4E82"/>
    <w:rsid w:val="00402602"/>
    <w:rsid w:val="004254A0"/>
    <w:rsid w:val="004313E6"/>
    <w:rsid w:val="004403BD"/>
    <w:rsid w:val="00442EEA"/>
    <w:rsid w:val="004431B5"/>
    <w:rsid w:val="00473C9C"/>
    <w:rsid w:val="004779B4"/>
    <w:rsid w:val="004A03B4"/>
    <w:rsid w:val="004E57C5"/>
    <w:rsid w:val="005123F2"/>
    <w:rsid w:val="00517DB2"/>
    <w:rsid w:val="005210BA"/>
    <w:rsid w:val="005473BC"/>
    <w:rsid w:val="005873E3"/>
    <w:rsid w:val="00595557"/>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C0696"/>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2557"/>
    <w:rsid w:val="008D52B7"/>
    <w:rsid w:val="008E0FCD"/>
    <w:rsid w:val="008E3EFA"/>
    <w:rsid w:val="008F175C"/>
    <w:rsid w:val="00905E67"/>
    <w:rsid w:val="00913143"/>
    <w:rsid w:val="00936421"/>
    <w:rsid w:val="009458D2"/>
    <w:rsid w:val="00946B20"/>
    <w:rsid w:val="0098046D"/>
    <w:rsid w:val="00984B36"/>
    <w:rsid w:val="00990B74"/>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77956"/>
    <w:rsid w:val="00B82B64"/>
    <w:rsid w:val="00B85F49"/>
    <w:rsid w:val="00B862BF"/>
    <w:rsid w:val="00B87B39"/>
    <w:rsid w:val="00BB11B9"/>
    <w:rsid w:val="00BC42B6"/>
    <w:rsid w:val="00BD2ABF"/>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2B03"/>
    <w:rsid w:val="00D56C09"/>
    <w:rsid w:val="00D64DF4"/>
    <w:rsid w:val="00D65F02"/>
    <w:rsid w:val="00D75B84"/>
    <w:rsid w:val="00D75FF8"/>
    <w:rsid w:val="00DA73A0"/>
    <w:rsid w:val="00DB23D4"/>
    <w:rsid w:val="00DB63D4"/>
    <w:rsid w:val="00DD69AE"/>
    <w:rsid w:val="00DE2B7A"/>
    <w:rsid w:val="00DF4FCD"/>
    <w:rsid w:val="00DF7C07"/>
    <w:rsid w:val="00E36AF7"/>
    <w:rsid w:val="00E3737C"/>
    <w:rsid w:val="00E4755D"/>
    <w:rsid w:val="00E641DE"/>
    <w:rsid w:val="00EB33FD"/>
    <w:rsid w:val="00EC63A4"/>
    <w:rsid w:val="00EC7B24"/>
    <w:rsid w:val="00ED1712"/>
    <w:rsid w:val="00ED4B5C"/>
    <w:rsid w:val="00F15B95"/>
    <w:rsid w:val="00F3256C"/>
    <w:rsid w:val="00F32980"/>
    <w:rsid w:val="00F64260"/>
    <w:rsid w:val="00F853AA"/>
    <w:rsid w:val="00F871BA"/>
    <w:rsid w:val="00F93E8D"/>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E3737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041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67Z3ZXSPZZWZ-949-1106</_dlc_DocId>
    <_dlc_DocIdUrl xmlns="67887a43-7e4d-4c1c-91d7-15e417b1b8ab">
      <Url>https://w3.ric.edu/curriculum_committee/_layouts/15/DocIdRedir.aspx?ID=67Z3ZXSPZZWZ-949-1106</Url>
      <Description>67Z3ZXSPZZWZ-949-1106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704C6864-6E34-4BBB-9F9A-04EA799134DE}"/>
</file>

<file path=docProps/app.xml><?xml version="1.0" encoding="utf-8"?>
<Properties xmlns="http://schemas.openxmlformats.org/officeDocument/2006/extended-properties" xmlns:vt="http://schemas.openxmlformats.org/officeDocument/2006/docPropsVTypes">
  <Template>Normal.dotm</Template>
  <TotalTime>483</TotalTime>
  <Pages>3</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2019-04-14T16:55:00Z</dcterms:created>
  <dcterms:modified xsi:type="dcterms:W3CDTF">2019-12-19T18:50:00Z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23024fc4-0e69-4e43-8777-8c4ed51cde97</vt:lpwstr>
  </property>
</Properties>
</file>