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A659DCA" w:rsidR="00F64260" w:rsidRPr="00A83A6C" w:rsidRDefault="00302139" w:rsidP="00302139">
            <w:pPr>
              <w:pStyle w:val="Heading5"/>
              <w:rPr>
                <w:b/>
              </w:rPr>
            </w:pPr>
            <w:bookmarkStart w:id="0" w:name="Proposal"/>
            <w:bookmarkEnd w:id="0"/>
            <w:r>
              <w:rPr>
                <w:b/>
              </w:rPr>
              <w:t>Soc 3</w:t>
            </w:r>
            <w:r w:rsidR="008C683D">
              <w:rPr>
                <w:b/>
              </w:rPr>
              <w:t>6</w:t>
            </w:r>
            <w:r w:rsidR="00FF6EED">
              <w:rPr>
                <w:b/>
              </w:rPr>
              <w:t>2</w:t>
            </w:r>
            <w:r>
              <w:rPr>
                <w:b/>
              </w:rPr>
              <w:t xml:space="preserve"> </w:t>
            </w:r>
            <w:r w:rsidR="008C683D">
              <w:rPr>
                <w:b/>
              </w:rPr>
              <w:t>theories of</w:t>
            </w:r>
            <w:r>
              <w:rPr>
                <w:b/>
              </w:rPr>
              <w:t xml:space="preserve"> crime</w:t>
            </w:r>
            <w:r w:rsidR="008C683D">
              <w:rPr>
                <w:b/>
              </w:rPr>
              <w:t xml:space="preserve"> seminar</w:t>
            </w:r>
          </w:p>
        </w:tc>
        <w:tc>
          <w:tcPr>
            <w:tcW w:w="131" w:type="pc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8C683D" w:rsidRPr="006E3AF2" w14:paraId="75E4897B" w14:textId="77777777" w:rsidTr="00345149">
        <w:trPr>
          <w:cantSplit/>
        </w:trPr>
        <w:tc>
          <w:tcPr>
            <w:tcW w:w="1111" w:type="pct"/>
            <w:vAlign w:val="center"/>
          </w:tcPr>
          <w:p w14:paraId="04A01593" w14:textId="77777777" w:rsidR="008C683D" w:rsidRDefault="00C3261E" w:rsidP="00010085">
            <w:hyperlink w:anchor="Ifapplicable" w:tooltip="Use only if applicable, and indicate if the course/program being replaced will need to be deleted in both A.2 and in your rationale (A. 4)" w:history="1">
              <w:r w:rsidR="008C683D" w:rsidRPr="00B649C4">
                <w:rPr>
                  <w:rStyle w:val="Hyperlink"/>
                </w:rPr>
                <w:t>Replacing</w:t>
              </w:r>
            </w:hyperlink>
            <w:r w:rsidR="008C683D" w:rsidRPr="00B649C4">
              <w:t xml:space="preserve"> </w:t>
            </w:r>
          </w:p>
          <w:p w14:paraId="2815CA54" w14:textId="668B2F3D" w:rsidR="008C683D" w:rsidRPr="00B649C4" w:rsidRDefault="008C683D" w:rsidP="00010085"/>
        </w:tc>
        <w:tc>
          <w:tcPr>
            <w:tcW w:w="3758" w:type="pct"/>
            <w:gridSpan w:val="4"/>
          </w:tcPr>
          <w:p w14:paraId="66FFB834" w14:textId="7D011648" w:rsidR="008C683D" w:rsidRDefault="00546FE9" w:rsidP="00FA78CA">
            <w:pPr>
              <w:rPr>
                <w:b/>
              </w:rPr>
            </w:pPr>
            <w:r w:rsidRPr="00546FE9">
              <w:rPr>
                <w:b/>
                <w:color w:val="632423" w:themeColor="accent2" w:themeShade="80"/>
              </w:rPr>
              <w:t>SOC 309 SOCIOLOGY OF DELINQUENCY AND CRIME</w:t>
            </w:r>
          </w:p>
        </w:tc>
        <w:tc>
          <w:tcPr>
            <w:tcW w:w="131" w:type="pct"/>
          </w:tcPr>
          <w:p w14:paraId="7B4A8BDD" w14:textId="77777777" w:rsidR="008C683D" w:rsidRPr="005F2A05" w:rsidRDefault="008C683D"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bookmarkStart w:id="3" w:name="Ifapplicable"/>
            <w:bookmarkEnd w:id="3"/>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1DA1E8FC" w:rsidR="00F64260" w:rsidRPr="005F2A05" w:rsidRDefault="008D0F23" w:rsidP="00FA78CA">
            <w:pPr>
              <w:rPr>
                <w:b/>
              </w:rPr>
            </w:pPr>
            <w:bookmarkStart w:id="4" w:name="type"/>
            <w:r>
              <w:rPr>
                <w:b/>
              </w:rPr>
              <w:t>Course</w:t>
            </w:r>
            <w:r w:rsidR="00F64260" w:rsidRPr="005F2A05">
              <w:rPr>
                <w:b/>
              </w:rPr>
              <w:t xml:space="preserve"> </w:t>
            </w:r>
            <w:r w:rsidR="00F64260">
              <w:rPr>
                <w:b/>
              </w:rPr>
              <w:t xml:space="preserve"> </w:t>
            </w:r>
            <w:bookmarkEnd w:id="4"/>
            <w:r w:rsidR="00F64260" w:rsidRPr="00A87611">
              <w:rPr>
                <w:b/>
              </w:rPr>
              <w:t>revision</w:t>
            </w:r>
            <w:r w:rsidR="00F64260" w:rsidRPr="005F2A05">
              <w:rPr>
                <w:b/>
              </w:rPr>
              <w:t xml:space="preserve"> </w:t>
            </w:r>
            <w:bookmarkStart w:id="5" w:name="deletion"/>
            <w:bookmarkEnd w:id="5"/>
          </w:p>
          <w:p w14:paraId="52ECEFB4" w14:textId="0218BA50" w:rsidR="00F64260" w:rsidRPr="005F2A05" w:rsidRDefault="00F64260" w:rsidP="00302139">
            <w:pPr>
              <w:rPr>
                <w:b/>
              </w:rPr>
            </w:pPr>
            <w:bookmarkStart w:id="6" w:name="revision"/>
            <w:bookmarkEnd w:id="6"/>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3EECF584" w:rsidR="00F64260" w:rsidRPr="00B605CE" w:rsidRDefault="00302139" w:rsidP="00B862BF">
            <w:pPr>
              <w:rPr>
                <w:b/>
              </w:rPr>
            </w:pPr>
            <w:bookmarkStart w:id="7" w:name="Originator"/>
            <w:bookmarkEnd w:id="7"/>
            <w:r>
              <w:rPr>
                <w:b/>
              </w:rPr>
              <w:t>Desirée Ciambrone</w:t>
            </w:r>
          </w:p>
        </w:tc>
        <w:tc>
          <w:tcPr>
            <w:tcW w:w="1210" w:type="pct"/>
          </w:tcPr>
          <w:p w14:paraId="788D9512" w14:textId="19B60691" w:rsidR="00F64260" w:rsidRPr="00946B20" w:rsidRDefault="00C3261E"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8798689" w:rsidR="00F64260" w:rsidRPr="00B605CE" w:rsidRDefault="00302139" w:rsidP="00B862BF">
            <w:pPr>
              <w:rPr>
                <w:b/>
              </w:rPr>
            </w:pPr>
            <w:bookmarkStart w:id="8" w:name="home_dept"/>
            <w:bookmarkEnd w:id="8"/>
            <w:r>
              <w:rPr>
                <w:b/>
              </w:rPr>
              <w:t xml:space="preserve">Sociology </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4F4293F5" w14:textId="4D145D8A" w:rsidR="00DF0A1C" w:rsidRDefault="008D0F23" w:rsidP="00874BED">
            <w:pPr>
              <w:spacing w:line="240" w:lineRule="auto"/>
            </w:pPr>
            <w:bookmarkStart w:id="9" w:name="Rationale"/>
            <w:bookmarkEnd w:id="9"/>
            <w:r>
              <w:t>Sociology</w:t>
            </w:r>
            <w:r w:rsidR="00874BED">
              <w:t xml:space="preserve"> 309 has been redesigned to more fully focus on meeting both the Writing in the Discipline General Education component within the Justice Studies Program and the Theory component within this major. </w:t>
            </w:r>
            <w:r w:rsidR="008C683D">
              <w:t>It is being renumbered 36</w:t>
            </w:r>
            <w:r w:rsidR="00FF6EED">
              <w:t>2</w:t>
            </w:r>
            <w:r w:rsidR="008C683D">
              <w:t xml:space="preserve"> as a seminar to reflect this, and given a revised title, description, and prerequis</w:t>
            </w:r>
            <w:r w:rsidR="0075379E">
              <w:t>i</w:t>
            </w:r>
            <w:r w:rsidR="008C683D">
              <w:t>te.</w:t>
            </w:r>
          </w:p>
          <w:p w14:paraId="67943D0B" w14:textId="77777777" w:rsidR="00DF0A1C" w:rsidRDefault="00DF0A1C" w:rsidP="00874BED">
            <w:pPr>
              <w:spacing w:line="240" w:lineRule="auto"/>
            </w:pPr>
          </w:p>
          <w:p w14:paraId="35B40E14" w14:textId="36D588C0" w:rsidR="00DF0A1C" w:rsidRDefault="00DF0A1C" w:rsidP="00874BED">
            <w:pPr>
              <w:spacing w:line="240" w:lineRule="auto"/>
            </w:pPr>
            <w:r w:rsidRPr="00DF0A1C">
              <w:rPr>
                <w:i/>
              </w:rPr>
              <w:t>Theory intensive</w:t>
            </w:r>
            <w:r>
              <w:t>: Intensive examination of major theories in criminology as they are used in current scholarship and reflected in public policies and in j</w:t>
            </w:r>
            <w:r w:rsidR="00536BE1">
              <w:t xml:space="preserve">ustice service delivery are </w:t>
            </w:r>
            <w:r>
              <w:t>accomplished in the Justice Studies major in this single upper level course, rather than in two upper level courses (as in the department’s sister program in Sociology), and instead of being spread out throughout the upper level substantive courses in the major.  Centralizing the location of intensive investigation of criminological theory within Sociology 309 is intended to provide it to all majors through this required course.  Other upper level substantive courses in the major may be chosen by students at their discretion, and as a result, distributing intensive investigation of theory throughout them has not been effective.</w:t>
            </w:r>
          </w:p>
          <w:p w14:paraId="51B87345" w14:textId="77777777" w:rsidR="00DF0A1C" w:rsidRDefault="00DF0A1C" w:rsidP="00874BED">
            <w:pPr>
              <w:spacing w:line="240" w:lineRule="auto"/>
            </w:pPr>
          </w:p>
          <w:p w14:paraId="3AFFF817" w14:textId="2707319D" w:rsidR="00874BED" w:rsidRDefault="00DF0A1C" w:rsidP="00874BED">
            <w:pPr>
              <w:spacing w:line="240" w:lineRule="auto"/>
            </w:pPr>
            <w:r w:rsidRPr="00DF0A1C">
              <w:rPr>
                <w:i/>
              </w:rPr>
              <w:t>Writing intensive</w:t>
            </w:r>
            <w:r>
              <w:t xml:space="preserve">: </w:t>
            </w:r>
            <w:r w:rsidR="00874BED">
              <w:t xml:space="preserve">In Sociology 309 students will now be required to complete </w:t>
            </w:r>
            <w:r w:rsidR="00DF6C19">
              <w:t>a</w:t>
            </w:r>
            <w:r w:rsidR="00874BED">
              <w:t xml:space="preserve"> faculty guided </w:t>
            </w:r>
            <w:r w:rsidR="00DF6C19">
              <w:t>term</w:t>
            </w:r>
            <w:r w:rsidR="00874BED">
              <w:t xml:space="preserve"> paper investigating crimi</w:t>
            </w:r>
            <w:r>
              <w:t>nological theory and policy</w:t>
            </w:r>
            <w:r w:rsidR="00874BED">
              <w:t xml:space="preserve">, and submit shorter essays designed to foster understanding of effective essay construction on topics in the field. </w:t>
            </w:r>
            <w:r>
              <w:t xml:space="preserve"> Faculty will work closely with students on drafts of their </w:t>
            </w:r>
            <w:r w:rsidR="00DF6C19">
              <w:t>term</w:t>
            </w:r>
            <w:r>
              <w:t xml:space="preserve"> papers so </w:t>
            </w:r>
            <w:r w:rsidR="00121333">
              <w:t xml:space="preserve">they </w:t>
            </w:r>
            <w:r>
              <w:t xml:space="preserve">leave the program better able to compose cogent </w:t>
            </w:r>
            <w:r w:rsidR="00B64763">
              <w:t xml:space="preserve">social policy </w:t>
            </w:r>
            <w:r>
              <w:t>repo</w:t>
            </w:r>
            <w:r w:rsidR="00DF6C19">
              <w:t>rts, integrating theory and scholarly literature</w:t>
            </w:r>
            <w:r>
              <w:t xml:space="preserve">.  </w:t>
            </w:r>
          </w:p>
          <w:p w14:paraId="0A70642F" w14:textId="77777777" w:rsidR="00DF0A1C" w:rsidRDefault="00DF0A1C" w:rsidP="00874BED">
            <w:pPr>
              <w:spacing w:line="240" w:lineRule="auto"/>
            </w:pPr>
          </w:p>
          <w:p w14:paraId="41EFFC68" w14:textId="52B5ABED" w:rsidR="00F64260" w:rsidRPr="00495FEB" w:rsidRDefault="00874BED" w:rsidP="008C683D">
            <w:pPr>
              <w:spacing w:line="240" w:lineRule="auto"/>
              <w:rPr>
                <w:rFonts w:asciiTheme="minorHAnsi" w:hAnsiTheme="minorHAnsi"/>
              </w:rPr>
            </w:pPr>
            <w:r>
              <w:t>To reflect its new role as the central location of in-depth study of criminological theory and its critical role in writing-in-the-discipline within the major, we request that Sociology 309 be capped at 20 to permit more one-on-one student faculty collaboration throughout the semester.  Student success in meeting course expectations will be enhanced with more individual faculty attention.</w:t>
            </w:r>
            <w:r w:rsidR="008D0F23">
              <w:t xml:space="preserve"> In addition, we </w:t>
            </w:r>
            <w:r w:rsidR="003F1F56">
              <w:t xml:space="preserve">propose a title change to better reflect the course content. </w:t>
            </w:r>
            <w:r w:rsidR="00495FEB">
              <w:t xml:space="preserve">And finally, we would like to change the prerequisite; </w:t>
            </w:r>
            <w:r w:rsidR="00495FEB" w:rsidRPr="00495FEB">
              <w:rPr>
                <w:rFonts w:asciiTheme="minorHAnsi" w:hAnsiTheme="minorHAnsi"/>
                <w:color w:val="000000"/>
              </w:rPr>
              <w:t xml:space="preserve">Faculty </w:t>
            </w:r>
            <w:r w:rsidR="00495FEB">
              <w:rPr>
                <w:rFonts w:asciiTheme="minorHAnsi" w:hAnsiTheme="minorHAnsi"/>
                <w:color w:val="000000"/>
              </w:rPr>
              <w:t xml:space="preserve">who </w:t>
            </w:r>
            <w:r w:rsidR="00495FEB" w:rsidRPr="00495FEB">
              <w:rPr>
                <w:rFonts w:asciiTheme="minorHAnsi" w:hAnsiTheme="minorHAnsi"/>
                <w:color w:val="000000"/>
              </w:rPr>
              <w:t xml:space="preserve">routinely teaching sociology 309 have observed that students who are roughly at the sophomore level who have taken more substantive courses in the major are better equipped to grapple with material </w:t>
            </w:r>
            <w:r w:rsidR="00495FEB" w:rsidRPr="00495FEB">
              <w:rPr>
                <w:rFonts w:asciiTheme="minorHAnsi" w:hAnsiTheme="minorHAnsi"/>
                <w:color w:val="000000"/>
              </w:rPr>
              <w:lastRenderedPageBreak/>
              <w:t>presented in the course. In addition, presumably they have also had more practice applying theoretical concepts to concrete issues as well as writing in the discipline. </w:t>
            </w:r>
          </w:p>
        </w:tc>
      </w:tr>
      <w:tr w:rsidR="00517DB2" w:rsidRPr="006E3AF2" w14:paraId="376213DA" w14:textId="77777777" w:rsidTr="00517DB2">
        <w:tc>
          <w:tcPr>
            <w:tcW w:w="1111" w:type="pct"/>
            <w:vAlign w:val="center"/>
          </w:tcPr>
          <w:p w14:paraId="64288573" w14:textId="5F52F8EB"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4DF77A7" w:rsidR="00517DB2" w:rsidRPr="00B649C4" w:rsidRDefault="00874BED" w:rsidP="00517DB2">
            <w:pPr>
              <w:rPr>
                <w:b/>
              </w:rPr>
            </w:pPr>
            <w:bookmarkStart w:id="10" w:name="student_impact"/>
            <w:bookmarkEnd w:id="10"/>
            <w:r>
              <w:t>Greater faculty assisted student attention to writing-in-the-discipline and more intensive faculty guided investigation of criminological theories and their justice policy and service delivery implications.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092AF0BE" w:rsidR="00517DB2" w:rsidRPr="00B649C4" w:rsidRDefault="00302139" w:rsidP="00517DB2">
            <w:pPr>
              <w:rPr>
                <w:b/>
              </w:rPr>
            </w:pPr>
            <w:bookmarkStart w:id="11" w:name="prog_impact"/>
            <w:bookmarkEnd w:id="11"/>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C3261E"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4F625AA0" w:rsidR="008D52B7" w:rsidRPr="00C25F9D" w:rsidRDefault="00302139"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C3261E"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0B3B8F69" w:rsidR="008D52B7" w:rsidRPr="00C25F9D" w:rsidRDefault="00302139"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C3261E"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6F9561C" w:rsidR="008D52B7" w:rsidRPr="00C25F9D" w:rsidRDefault="00302139"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C3261E"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6693508" w:rsidR="008D52B7" w:rsidRPr="00C25F9D" w:rsidRDefault="00302139"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4DFEE722" w:rsidR="00F64260" w:rsidRPr="00B605CE" w:rsidRDefault="00DD7326" w:rsidP="00B862BF">
            <w:pPr>
              <w:rPr>
                <w:b/>
              </w:rPr>
            </w:pPr>
            <w:bookmarkStart w:id="12" w:name="date_submitted"/>
            <w:bookmarkEnd w:id="12"/>
            <w:r>
              <w:rPr>
                <w:b/>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642A5054"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FA2F9C">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FA2F9C">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710A4B1D" w:rsidR="00F64260" w:rsidRPr="009F029C" w:rsidRDefault="008C683D" w:rsidP="001429AA">
            <w:pPr>
              <w:spacing w:line="240" w:lineRule="auto"/>
              <w:rPr>
                <w:b/>
              </w:rPr>
            </w:pPr>
            <w:bookmarkStart w:id="14" w:name="cours_title"/>
            <w:bookmarkEnd w:id="14"/>
            <w:r>
              <w:rPr>
                <w:b/>
              </w:rPr>
              <w:t>SOC</w:t>
            </w:r>
            <w:r w:rsidR="00AA1B4B">
              <w:rPr>
                <w:b/>
              </w:rPr>
              <w:t xml:space="preserve"> 309</w:t>
            </w:r>
          </w:p>
        </w:tc>
        <w:tc>
          <w:tcPr>
            <w:tcW w:w="3840" w:type="dxa"/>
            <w:noWrap/>
          </w:tcPr>
          <w:p w14:paraId="6540064C" w14:textId="63C21317" w:rsidR="00F64260" w:rsidRPr="009F029C" w:rsidRDefault="008C683D" w:rsidP="001429AA">
            <w:pPr>
              <w:spacing w:line="240" w:lineRule="auto"/>
              <w:rPr>
                <w:b/>
              </w:rPr>
            </w:pPr>
            <w:r>
              <w:rPr>
                <w:b/>
              </w:rPr>
              <w:t>SOC</w:t>
            </w:r>
            <w:r w:rsidR="00627B0B">
              <w:rPr>
                <w:b/>
              </w:rPr>
              <w:t xml:space="preserve"> 36</w:t>
            </w:r>
            <w:r w:rsidR="00FF6EED">
              <w:rPr>
                <w:b/>
              </w:rPr>
              <w:t>2</w:t>
            </w:r>
            <w:bookmarkStart w:id="15" w:name="_GoBack"/>
            <w:bookmarkEnd w:id="15"/>
          </w:p>
        </w:tc>
      </w:tr>
      <w:tr w:rsidR="00F64260" w:rsidRPr="006E3AF2" w14:paraId="203B0C45" w14:textId="77777777" w:rsidTr="00FA2F9C">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FA2F9C">
        <w:tc>
          <w:tcPr>
            <w:tcW w:w="3100"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6DAC86EE" w:rsidR="00F64260" w:rsidRPr="009F029C" w:rsidRDefault="00AA1B4B" w:rsidP="001429AA">
            <w:pPr>
              <w:spacing w:line="240" w:lineRule="auto"/>
              <w:rPr>
                <w:b/>
              </w:rPr>
            </w:pPr>
            <w:bookmarkStart w:id="16" w:name="title"/>
            <w:bookmarkEnd w:id="16"/>
            <w:r>
              <w:rPr>
                <w:b/>
              </w:rPr>
              <w:t>Sociology of Delinquency and Crime</w:t>
            </w:r>
          </w:p>
        </w:tc>
        <w:tc>
          <w:tcPr>
            <w:tcW w:w="3840" w:type="dxa"/>
            <w:noWrap/>
          </w:tcPr>
          <w:p w14:paraId="2B9DB727" w14:textId="6B1C12F6" w:rsidR="00F64260" w:rsidRPr="006C452A" w:rsidRDefault="003D51C7" w:rsidP="001429AA">
            <w:pPr>
              <w:spacing w:line="240" w:lineRule="auto"/>
              <w:rPr>
                <w:b/>
              </w:rPr>
            </w:pPr>
            <w:r w:rsidRPr="006C452A">
              <w:rPr>
                <w:b/>
                <w:color w:val="000000"/>
                <w:shd w:val="clear" w:color="auto" w:fill="FFFFFF"/>
              </w:rPr>
              <w:t>Theories of Crime Seminar</w:t>
            </w:r>
          </w:p>
        </w:tc>
      </w:tr>
      <w:tr w:rsidR="00F64260" w:rsidRPr="006E3AF2" w14:paraId="76E4D772" w14:textId="77777777" w:rsidTr="00FA2F9C">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36CFDC3C" w14:textId="5F40CA87" w:rsidR="00E056B4" w:rsidRPr="00E056B4" w:rsidRDefault="00E056B4" w:rsidP="00E056B4">
            <w:pPr>
              <w:spacing w:line="240" w:lineRule="auto"/>
              <w:textAlignment w:val="baseline"/>
              <w:rPr>
                <w:rFonts w:cs="Segoe UI"/>
                <w:b/>
                <w:color w:val="201F1E"/>
                <w:sz w:val="24"/>
                <w:szCs w:val="24"/>
              </w:rPr>
            </w:pPr>
            <w:bookmarkStart w:id="17" w:name="description"/>
            <w:bookmarkEnd w:id="17"/>
            <w:r w:rsidRPr="00E056B4">
              <w:rPr>
                <w:rFonts w:cs="Segoe UI"/>
                <w:b/>
                <w:color w:val="444444"/>
                <w:sz w:val="24"/>
                <w:szCs w:val="24"/>
                <w:bdr w:val="none" w:sz="0" w:space="0" w:color="auto" w:frame="1"/>
                <w:shd w:val="clear" w:color="auto" w:fill="FFFFFF"/>
              </w:rPr>
              <w:t>Theoretical orientations toward the causes of delinquent and criminal behavior are studied. Also examined are various types of criminal behavior, as well as research, measurement, and prediction methods. Relevant social policy is explored.</w:t>
            </w:r>
          </w:p>
          <w:p w14:paraId="7D376918" w14:textId="77777777" w:rsidR="00F64260" w:rsidRPr="00E056B4" w:rsidRDefault="00F64260" w:rsidP="009F029C">
            <w:pPr>
              <w:tabs>
                <w:tab w:val="left" w:pos="690"/>
              </w:tabs>
              <w:spacing w:line="240" w:lineRule="auto"/>
              <w:rPr>
                <w:b/>
                <w:sz w:val="24"/>
                <w:szCs w:val="24"/>
              </w:rPr>
            </w:pPr>
          </w:p>
        </w:tc>
        <w:tc>
          <w:tcPr>
            <w:tcW w:w="3840" w:type="dxa"/>
            <w:noWrap/>
          </w:tcPr>
          <w:p w14:paraId="7E1BBF92" w14:textId="54DAA9BA" w:rsidR="00E056B4" w:rsidRPr="00E056B4" w:rsidRDefault="00597A06" w:rsidP="00E056B4">
            <w:pPr>
              <w:spacing w:line="240" w:lineRule="auto"/>
              <w:textAlignment w:val="baseline"/>
              <w:rPr>
                <w:rFonts w:cs="Segoe UI"/>
                <w:b/>
                <w:color w:val="201F1E"/>
                <w:sz w:val="24"/>
                <w:szCs w:val="24"/>
              </w:rPr>
            </w:pPr>
            <w:r>
              <w:rPr>
                <w:rFonts w:cs="Segoe UI"/>
                <w:b/>
                <w:color w:val="444444"/>
                <w:sz w:val="24"/>
                <w:szCs w:val="24"/>
                <w:bdr w:val="none" w:sz="0" w:space="0" w:color="auto" w:frame="1"/>
                <w:shd w:val="clear" w:color="auto" w:fill="FFFFFF"/>
              </w:rPr>
              <w:t>Students examine t</w:t>
            </w:r>
            <w:r w:rsidR="00E056B4" w:rsidRPr="00E056B4">
              <w:rPr>
                <w:rFonts w:cs="Segoe UI"/>
                <w:b/>
                <w:color w:val="444444"/>
                <w:sz w:val="24"/>
                <w:szCs w:val="24"/>
                <w:bdr w:val="none" w:sz="0" w:space="0" w:color="auto" w:frame="1"/>
                <w:shd w:val="clear" w:color="auto" w:fill="FFFFFF"/>
              </w:rPr>
              <w:t>heories of delinquent and criminal behavior</w:t>
            </w:r>
            <w:r w:rsidR="00536BE1">
              <w:rPr>
                <w:rFonts w:cs="Segoe UI"/>
                <w:b/>
                <w:color w:val="444444"/>
                <w:sz w:val="24"/>
                <w:szCs w:val="24"/>
                <w:bdr w:val="none" w:sz="0" w:space="0" w:color="auto" w:frame="1"/>
                <w:shd w:val="clear" w:color="auto" w:fill="FFFFFF"/>
              </w:rPr>
              <w:t>.</w:t>
            </w:r>
            <w:r w:rsidR="00E056B4" w:rsidRPr="00E056B4">
              <w:rPr>
                <w:rFonts w:cs="Segoe UI"/>
                <w:b/>
                <w:color w:val="444444"/>
                <w:sz w:val="24"/>
                <w:szCs w:val="24"/>
                <w:bdr w:val="none" w:sz="0" w:space="0" w:color="auto" w:frame="1"/>
                <w:shd w:val="clear" w:color="auto" w:fill="FFFFFF"/>
              </w:rPr>
              <w:t xml:space="preserve">  Relevant social policy is explored through intensive writing and </w:t>
            </w:r>
            <w:r w:rsidR="00536BE1">
              <w:rPr>
                <w:rFonts w:cs="Segoe UI"/>
                <w:b/>
                <w:color w:val="444444"/>
                <w:sz w:val="24"/>
                <w:szCs w:val="24"/>
                <w:bdr w:val="none" w:sz="0" w:space="0" w:color="auto" w:frame="1"/>
                <w:shd w:val="clear" w:color="auto" w:fill="FFFFFF"/>
              </w:rPr>
              <w:t>analysis.</w:t>
            </w:r>
          </w:p>
          <w:p w14:paraId="51C7BE85" w14:textId="77777777" w:rsidR="00F64260" w:rsidRPr="00E056B4" w:rsidRDefault="00F64260" w:rsidP="001429AA">
            <w:pPr>
              <w:spacing w:line="240" w:lineRule="auto"/>
              <w:rPr>
                <w:b/>
                <w:sz w:val="24"/>
                <w:szCs w:val="24"/>
              </w:rPr>
            </w:pPr>
          </w:p>
        </w:tc>
      </w:tr>
      <w:tr w:rsidR="00F64260" w:rsidRPr="006E3AF2" w14:paraId="6B87DAE3" w14:textId="77777777" w:rsidTr="00FA2F9C">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7251A0F0" w:rsidR="00F64260" w:rsidRPr="00392A14" w:rsidRDefault="008C683D" w:rsidP="00392A14">
            <w:pPr>
              <w:spacing w:line="240" w:lineRule="auto"/>
              <w:rPr>
                <w:b/>
              </w:rPr>
            </w:pPr>
            <w:bookmarkStart w:id="18" w:name="prereqs"/>
            <w:bookmarkEnd w:id="18"/>
            <w:r>
              <w:rPr>
                <w:b/>
              </w:rPr>
              <w:t>SOC</w:t>
            </w:r>
            <w:r w:rsidR="00392A14">
              <w:rPr>
                <w:b/>
              </w:rPr>
              <w:t xml:space="preserve"> 207 or consent of department chair</w:t>
            </w:r>
            <w:r w:rsidR="00392A14" w:rsidRPr="00392A14">
              <w:rPr>
                <w:rFonts w:ascii="Arial" w:hAnsi="Arial" w:cs="Arial"/>
                <w:sz w:val="20"/>
                <w:szCs w:val="20"/>
                <w:shd w:val="clear" w:color="auto" w:fill="FFFFFF"/>
              </w:rPr>
              <w:t>.</w:t>
            </w:r>
          </w:p>
        </w:tc>
        <w:tc>
          <w:tcPr>
            <w:tcW w:w="3840" w:type="dxa"/>
            <w:noWrap/>
          </w:tcPr>
          <w:p w14:paraId="4DA91B44" w14:textId="1F1DF85B" w:rsidR="00F64260" w:rsidRPr="009F029C" w:rsidRDefault="008C683D" w:rsidP="001429AA">
            <w:pPr>
              <w:spacing w:line="240" w:lineRule="auto"/>
              <w:rPr>
                <w:b/>
              </w:rPr>
            </w:pPr>
            <w:r>
              <w:rPr>
                <w:b/>
              </w:rPr>
              <w:t>SOC</w:t>
            </w:r>
            <w:r w:rsidR="00392A14">
              <w:rPr>
                <w:b/>
              </w:rPr>
              <w:t xml:space="preserve"> 207 and 45 credit hours.</w:t>
            </w:r>
          </w:p>
        </w:tc>
      </w:tr>
      <w:tr w:rsidR="00F64260" w:rsidRPr="006E3AF2" w14:paraId="5AE5E526" w14:textId="77777777" w:rsidTr="00FA2F9C">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55C26C0B" w14:textId="74DA2454" w:rsidR="00874BED" w:rsidRPr="009F029C" w:rsidRDefault="00F64260" w:rsidP="00874BED">
            <w:pPr>
              <w:spacing w:line="240" w:lineRule="auto"/>
              <w:rPr>
                <w:b/>
                <w:sz w:val="20"/>
              </w:rPr>
            </w:pPr>
            <w:bookmarkStart w:id="19" w:name="offered"/>
            <w:r w:rsidRPr="009F029C">
              <w:rPr>
                <w:b/>
                <w:sz w:val="20"/>
              </w:rPr>
              <w:t xml:space="preserve">Fall  </w:t>
            </w:r>
            <w:bookmarkEnd w:id="19"/>
            <w:r w:rsidRPr="009F029C">
              <w:rPr>
                <w:rFonts w:ascii="MS Mincho" w:eastAsia="MS Mincho" w:hAnsi="MS Mincho" w:cs="MS Mincho"/>
                <w:b/>
                <w:sz w:val="20"/>
              </w:rPr>
              <w:t xml:space="preserve">| </w:t>
            </w:r>
            <w:r w:rsidRPr="009F029C">
              <w:rPr>
                <w:b/>
                <w:sz w:val="20"/>
              </w:rPr>
              <w:t xml:space="preserve">Spring  </w:t>
            </w:r>
          </w:p>
          <w:p w14:paraId="08F2FAD3" w14:textId="1BFE3549" w:rsidR="00F64260" w:rsidRPr="009F029C" w:rsidRDefault="00F64260" w:rsidP="000A36CD">
            <w:pPr>
              <w:spacing w:line="240" w:lineRule="auto"/>
              <w:rPr>
                <w:b/>
                <w:sz w:val="20"/>
              </w:rPr>
            </w:pPr>
          </w:p>
        </w:tc>
        <w:tc>
          <w:tcPr>
            <w:tcW w:w="3840" w:type="dxa"/>
            <w:noWrap/>
          </w:tcPr>
          <w:p w14:paraId="6C8D2300" w14:textId="62DA8982" w:rsidR="00874BED" w:rsidRPr="009F029C" w:rsidRDefault="00F64260" w:rsidP="00874BED">
            <w:pPr>
              <w:spacing w:line="240" w:lineRule="auto"/>
              <w:rPr>
                <w:b/>
                <w:sz w:val="20"/>
              </w:rPr>
            </w:pPr>
            <w:r w:rsidRPr="009F029C">
              <w:rPr>
                <w:b/>
                <w:sz w:val="20"/>
              </w:rPr>
              <w:t xml:space="preserve">Fall  </w:t>
            </w:r>
            <w:r w:rsidRPr="009F029C">
              <w:rPr>
                <w:rFonts w:ascii="MS Mincho" w:eastAsia="MS Mincho" w:hAnsi="MS Mincho" w:cs="MS Mincho"/>
                <w:b/>
                <w:sz w:val="20"/>
              </w:rPr>
              <w:t xml:space="preserve">| </w:t>
            </w:r>
            <w:r w:rsidRPr="009F029C">
              <w:rPr>
                <w:b/>
                <w:sz w:val="20"/>
              </w:rPr>
              <w:t xml:space="preserve">Spring  </w:t>
            </w:r>
          </w:p>
          <w:p w14:paraId="67D1137F" w14:textId="58764B10" w:rsidR="00F64260" w:rsidRPr="009F029C" w:rsidRDefault="00F64260" w:rsidP="00C25F9D">
            <w:pPr>
              <w:spacing w:line="240" w:lineRule="auto"/>
              <w:rPr>
                <w:b/>
                <w:sz w:val="20"/>
              </w:rPr>
            </w:pPr>
          </w:p>
        </w:tc>
      </w:tr>
      <w:tr w:rsidR="00F64260" w:rsidRPr="006E3AF2" w14:paraId="12464B8B" w14:textId="77777777" w:rsidTr="00FA2F9C">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20" w:name="contacthours"/>
            <w:bookmarkEnd w:id="20"/>
          </w:p>
        </w:tc>
        <w:tc>
          <w:tcPr>
            <w:tcW w:w="3840" w:type="dxa"/>
            <w:noWrap/>
          </w:tcPr>
          <w:p w14:paraId="57D144B9" w14:textId="77777777" w:rsidR="00F64260" w:rsidRPr="009F029C" w:rsidRDefault="00F64260" w:rsidP="001429AA">
            <w:pPr>
              <w:spacing w:line="240" w:lineRule="auto"/>
              <w:rPr>
                <w:b/>
              </w:rPr>
            </w:pPr>
          </w:p>
        </w:tc>
      </w:tr>
      <w:tr w:rsidR="00F64260" w:rsidRPr="006E3AF2" w14:paraId="677C9DA2" w14:textId="77777777" w:rsidTr="00FA2F9C">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21" w:name="credits"/>
            <w:bookmarkEnd w:id="21"/>
          </w:p>
        </w:tc>
        <w:tc>
          <w:tcPr>
            <w:tcW w:w="3840" w:type="dxa"/>
            <w:noWrap/>
          </w:tcPr>
          <w:p w14:paraId="7DD4CAFF" w14:textId="77777777" w:rsidR="00F64260" w:rsidRPr="009F029C" w:rsidRDefault="00F64260" w:rsidP="001429AA">
            <w:pPr>
              <w:spacing w:line="240" w:lineRule="auto"/>
              <w:rPr>
                <w:b/>
              </w:rPr>
            </w:pPr>
          </w:p>
        </w:tc>
      </w:tr>
      <w:tr w:rsidR="00F64260" w:rsidRPr="006E3AF2" w14:paraId="658C4762" w14:textId="77777777" w:rsidTr="00FA2F9C">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22" w:name="differences"/>
            <w:bookmarkEnd w:id="22"/>
          </w:p>
        </w:tc>
      </w:tr>
      <w:tr w:rsidR="00F64260" w:rsidRPr="006E3AF2" w14:paraId="1E5DCF31" w14:textId="77777777" w:rsidTr="00FA2F9C">
        <w:tc>
          <w:tcPr>
            <w:tcW w:w="3100" w:type="dxa"/>
            <w:noWrap/>
            <w:vAlign w:val="center"/>
          </w:tcPr>
          <w:p w14:paraId="519B79E7" w14:textId="3A9E2D05" w:rsidR="00F64260" w:rsidRPr="006E3AF2" w:rsidRDefault="004313E6" w:rsidP="00013152">
            <w:pPr>
              <w:spacing w:line="240" w:lineRule="auto"/>
            </w:pPr>
            <w:r>
              <w:lastRenderedPageBreak/>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6FB09E21" w:rsidR="00F64260" w:rsidRPr="009F029C" w:rsidRDefault="00F64260" w:rsidP="00874BED">
            <w:pPr>
              <w:spacing w:line="240" w:lineRule="auto"/>
              <w:rPr>
                <w:b/>
                <w:sz w:val="20"/>
              </w:rPr>
            </w:pPr>
            <w:r w:rsidRPr="009F029C">
              <w:rPr>
                <w:b/>
                <w:sz w:val="20"/>
              </w:rPr>
              <w:t xml:space="preserve">Letter grade  </w:t>
            </w:r>
          </w:p>
        </w:tc>
        <w:tc>
          <w:tcPr>
            <w:tcW w:w="3840" w:type="dxa"/>
            <w:noWrap/>
          </w:tcPr>
          <w:p w14:paraId="2CF717EE" w14:textId="65AF3C51" w:rsidR="00F64260" w:rsidRPr="009F029C" w:rsidRDefault="00F64260" w:rsidP="00874BED">
            <w:pPr>
              <w:spacing w:line="240" w:lineRule="auto"/>
              <w:rPr>
                <w:b/>
                <w:sz w:val="20"/>
              </w:rPr>
            </w:pPr>
            <w:r w:rsidRPr="009F029C">
              <w:rPr>
                <w:b/>
                <w:sz w:val="20"/>
              </w:rPr>
              <w:t xml:space="preserve">Letter grade  </w:t>
            </w:r>
          </w:p>
        </w:tc>
      </w:tr>
      <w:tr w:rsidR="00F64260" w:rsidRPr="006E3AF2" w14:paraId="66DAB74D" w14:textId="77777777" w:rsidTr="00FA2F9C">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69930FCF" w:rsidR="00F64260" w:rsidRPr="009F029C" w:rsidRDefault="00F64260" w:rsidP="005975A2">
            <w:pPr>
              <w:spacing w:line="240" w:lineRule="auto"/>
              <w:rPr>
                <w:b/>
                <w:sz w:val="20"/>
              </w:rPr>
            </w:pPr>
            <w:bookmarkStart w:id="23" w:name="instr_methods"/>
            <w:bookmarkEnd w:id="23"/>
            <w:r w:rsidRPr="009F029C">
              <w:rPr>
                <w:b/>
                <w:sz w:val="20"/>
              </w:rPr>
              <w:t xml:space="preserve">Lecture  </w:t>
            </w:r>
            <w:r w:rsidR="002670B8">
              <w:rPr>
                <w:rFonts w:ascii="MS Mincho" w:eastAsia="MS Mincho" w:hAnsi="MS Mincho" w:cs="MS Mincho"/>
                <w:b/>
                <w:sz w:val="20"/>
              </w:rPr>
              <w:t>|</w:t>
            </w:r>
            <w:r w:rsidRPr="009F029C">
              <w:rPr>
                <w:rFonts w:ascii="MS Mincho" w:eastAsia="MS Mincho" w:hAnsi="MS Mincho" w:cs="MS Mincho"/>
                <w:b/>
                <w:sz w:val="20"/>
              </w:rPr>
              <w:t xml:space="preserve"> </w:t>
            </w:r>
            <w:r w:rsidRPr="009F029C">
              <w:rPr>
                <w:b/>
                <w:sz w:val="20"/>
              </w:rPr>
              <w:t xml:space="preserve">Seminar  </w:t>
            </w:r>
            <w:r w:rsidR="005975A2">
              <w:rPr>
                <w:rFonts w:ascii="MS Mincho" w:eastAsia="MS Mincho" w:hAnsi="MS Mincho" w:cs="MS Mincho"/>
                <w:b/>
                <w:sz w:val="20"/>
              </w:rPr>
              <w:t>|</w:t>
            </w:r>
            <w:r w:rsidR="00B77369" w:rsidRPr="00B77369">
              <w:rPr>
                <w:rFonts w:asciiTheme="minorHAnsi" w:eastAsia="MS Mincho" w:hAnsiTheme="minorHAnsi" w:cs="MS Mincho"/>
                <w:b/>
                <w:sz w:val="20"/>
              </w:rPr>
              <w:t xml:space="preserve"> Hybrid</w:t>
            </w:r>
          </w:p>
        </w:tc>
        <w:tc>
          <w:tcPr>
            <w:tcW w:w="3840" w:type="dxa"/>
            <w:noWrap/>
          </w:tcPr>
          <w:p w14:paraId="27D66483" w14:textId="7BB05710" w:rsidR="00F64260" w:rsidRPr="009F029C" w:rsidRDefault="00F64260" w:rsidP="005975A2">
            <w:pPr>
              <w:spacing w:line="240" w:lineRule="auto"/>
              <w:rPr>
                <w:b/>
                <w:sz w:val="20"/>
              </w:rPr>
            </w:pPr>
            <w:r w:rsidRPr="009F029C">
              <w:rPr>
                <w:b/>
                <w:sz w:val="20"/>
              </w:rPr>
              <w:t xml:space="preserve">Lecture  </w:t>
            </w:r>
            <w:r w:rsidRPr="009F029C">
              <w:rPr>
                <w:rFonts w:ascii="MS Mincho" w:eastAsia="MS Mincho" w:hAnsi="MS Mincho" w:cs="MS Mincho"/>
                <w:b/>
                <w:sz w:val="20"/>
              </w:rPr>
              <w:t>|</w:t>
            </w:r>
            <w:r w:rsidRPr="009F029C">
              <w:rPr>
                <w:b/>
                <w:sz w:val="20"/>
              </w:rPr>
              <w:t xml:space="preserve">Seminar  </w:t>
            </w:r>
            <w:r w:rsidRPr="009F029C">
              <w:rPr>
                <w:rFonts w:ascii="MS Mincho" w:eastAsia="MS Mincho" w:hAnsi="MS Mincho" w:cs="MS Mincho"/>
                <w:b/>
                <w:sz w:val="20"/>
              </w:rPr>
              <w:t>|</w:t>
            </w:r>
            <w:r w:rsidR="00795D54">
              <w:rPr>
                <w:b/>
                <w:sz w:val="20"/>
              </w:rPr>
              <w:t xml:space="preserve"> </w:t>
            </w:r>
            <w:r w:rsidR="005975A2">
              <w:rPr>
                <w:b/>
                <w:sz w:val="20"/>
              </w:rPr>
              <w:t>Hybrid</w:t>
            </w:r>
          </w:p>
        </w:tc>
      </w:tr>
      <w:tr w:rsidR="00F64260" w:rsidRPr="006E3AF2" w14:paraId="40E0E48F" w14:textId="77777777" w:rsidTr="00FA2F9C">
        <w:tc>
          <w:tcPr>
            <w:tcW w:w="3100"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840" w:type="dxa"/>
            <w:noWrap/>
          </w:tcPr>
          <w:p w14:paraId="57466F72" w14:textId="0EA9D1A9" w:rsidR="00F64260" w:rsidRPr="009F029C" w:rsidRDefault="00F64260" w:rsidP="00874BED">
            <w:pPr>
              <w:spacing w:line="240" w:lineRule="auto"/>
              <w:rPr>
                <w:b/>
                <w:sz w:val="20"/>
              </w:rPr>
            </w:pPr>
            <w:bookmarkStart w:id="24" w:name="required"/>
            <w:bookmarkEnd w:id="24"/>
            <w:r w:rsidRPr="009F029C">
              <w:rPr>
                <w:b/>
                <w:sz w:val="20"/>
              </w:rPr>
              <w:t xml:space="preserve">Required for major/minor   </w:t>
            </w:r>
          </w:p>
        </w:tc>
        <w:tc>
          <w:tcPr>
            <w:tcW w:w="3840" w:type="dxa"/>
            <w:noWrap/>
          </w:tcPr>
          <w:p w14:paraId="442E5788" w14:textId="23DCF8E4" w:rsidR="00F64260" w:rsidRPr="009F029C" w:rsidRDefault="00F64260" w:rsidP="00874BED">
            <w:pPr>
              <w:spacing w:line="240" w:lineRule="auto"/>
              <w:rPr>
                <w:b/>
                <w:sz w:val="20"/>
              </w:rPr>
            </w:pPr>
            <w:r w:rsidRPr="009F029C">
              <w:rPr>
                <w:b/>
                <w:sz w:val="20"/>
              </w:rPr>
              <w:t xml:space="preserve">Required for major/minor  </w:t>
            </w:r>
          </w:p>
        </w:tc>
      </w:tr>
      <w:tr w:rsidR="00F64260" w:rsidRPr="006E3AF2" w14:paraId="4F77409C" w14:textId="77777777" w:rsidTr="00FA2F9C">
        <w:tc>
          <w:tcPr>
            <w:tcW w:w="3100"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840" w:type="dxa"/>
            <w:noWrap/>
          </w:tcPr>
          <w:p w14:paraId="1F134875" w14:textId="1CC27318" w:rsidR="00F64260" w:rsidRPr="009F029C" w:rsidRDefault="00F3256C" w:rsidP="001429AA">
            <w:pPr>
              <w:spacing w:line="240" w:lineRule="auto"/>
              <w:rPr>
                <w:b/>
              </w:rPr>
            </w:pPr>
            <w:r>
              <w:rPr>
                <w:b/>
              </w:rPr>
              <w:t>NO</w:t>
            </w:r>
          </w:p>
        </w:tc>
        <w:tc>
          <w:tcPr>
            <w:tcW w:w="3840" w:type="dxa"/>
            <w:noWrap/>
          </w:tcPr>
          <w:p w14:paraId="41CF798F" w14:textId="6AC625ED" w:rsidR="00F64260" w:rsidRPr="009F029C" w:rsidRDefault="00F3256C" w:rsidP="001429AA">
            <w:pPr>
              <w:spacing w:line="240" w:lineRule="auto"/>
              <w:rPr>
                <w:b/>
              </w:rPr>
            </w:pPr>
            <w:r>
              <w:rPr>
                <w:b/>
              </w:rPr>
              <w:t>NO</w:t>
            </w:r>
          </w:p>
        </w:tc>
      </w:tr>
      <w:tr w:rsidR="00F64260" w:rsidRPr="006E3AF2" w14:paraId="3A6D1D6E" w14:textId="77777777" w:rsidTr="00FA2F9C">
        <w:tc>
          <w:tcPr>
            <w:tcW w:w="3100"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840" w:type="dxa"/>
            <w:noWrap/>
          </w:tcPr>
          <w:p w14:paraId="63CA6D6B" w14:textId="1644610B" w:rsidR="00984B36" w:rsidRDefault="00F3256C" w:rsidP="001A51ED">
            <w:pPr>
              <w:rPr>
                <w:rFonts w:ascii="MS Mincho" w:eastAsia="MS Mincho" w:hAnsi="MS Mincho" w:cs="MS Mincho"/>
                <w:b/>
                <w:sz w:val="20"/>
              </w:rPr>
            </w:pPr>
            <w:bookmarkStart w:id="25" w:name="ge"/>
            <w:bookmarkEnd w:id="25"/>
            <w:r>
              <w:rPr>
                <w:b/>
              </w:rPr>
              <w:t>NO</w:t>
            </w:r>
            <w:r w:rsidR="00984B36">
              <w:rPr>
                <w:b/>
              </w:rPr>
              <w:t xml:space="preserve">  </w:t>
            </w:r>
          </w:p>
          <w:p w14:paraId="071181E7" w14:textId="4EA9D681" w:rsidR="00F64260" w:rsidRPr="009F029C" w:rsidRDefault="00F64260" w:rsidP="001A51ED">
            <w:pPr>
              <w:rPr>
                <w:b/>
                <w:sz w:val="20"/>
              </w:rPr>
            </w:pPr>
          </w:p>
        </w:tc>
        <w:tc>
          <w:tcPr>
            <w:tcW w:w="3840" w:type="dxa"/>
            <w:noWrap/>
          </w:tcPr>
          <w:p w14:paraId="411B25D5" w14:textId="0C012EBF" w:rsidR="00984B36" w:rsidRDefault="00AA1B4B" w:rsidP="001429AA">
            <w:pPr>
              <w:spacing w:line="240" w:lineRule="auto"/>
              <w:rPr>
                <w:rFonts w:ascii="MS Mincho" w:eastAsia="MS Mincho" w:hAnsi="MS Mincho" w:cs="MS Mincho"/>
                <w:b/>
                <w:sz w:val="20"/>
              </w:rPr>
            </w:pPr>
            <w:r>
              <w:rPr>
                <w:b/>
              </w:rPr>
              <w:t>NO</w:t>
            </w:r>
          </w:p>
          <w:p w14:paraId="45B135E3" w14:textId="246B0D49" w:rsidR="00F64260" w:rsidRPr="009F029C" w:rsidRDefault="00F64260" w:rsidP="001429AA">
            <w:pPr>
              <w:spacing w:line="240" w:lineRule="auto"/>
              <w:rPr>
                <w:b/>
                <w:sz w:val="20"/>
              </w:rPr>
            </w:pPr>
          </w:p>
        </w:tc>
      </w:tr>
      <w:tr w:rsidR="00FA2F9C" w:rsidRPr="006E3AF2" w14:paraId="7309520B" w14:textId="77777777" w:rsidTr="00FA2F9C">
        <w:tc>
          <w:tcPr>
            <w:tcW w:w="3100" w:type="dxa"/>
            <w:noWrap/>
            <w:vAlign w:val="center"/>
          </w:tcPr>
          <w:p w14:paraId="070EE83F" w14:textId="361D2585" w:rsidR="00FA2F9C" w:rsidRPr="006E3AF2" w:rsidRDefault="00FA2F9C" w:rsidP="00FA2F9C">
            <w:pPr>
              <w:spacing w:line="240" w:lineRule="auto"/>
            </w:pPr>
            <w:r>
              <w:t xml:space="preserve">B.15.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4B7C1836" w14:textId="77777777" w:rsidR="00FA2F9C" w:rsidRPr="009F029C" w:rsidRDefault="00FA2F9C" w:rsidP="00FA2F9C">
            <w:pPr>
              <w:spacing w:line="240" w:lineRule="auto"/>
              <w:rPr>
                <w:rFonts w:ascii="MS Mincho" w:eastAsia="MS Mincho" w:hAnsi="MS Mincho" w:cs="MS Mincho"/>
                <w:b/>
                <w:sz w:val="20"/>
              </w:rPr>
            </w:pPr>
            <w:bookmarkStart w:id="26" w:name="performance"/>
            <w:bookmarkEnd w:id="26"/>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1A66AF8F" w14:textId="4D2A9102" w:rsidR="00FA2F9C" w:rsidRPr="009F029C" w:rsidRDefault="00FA2F9C" w:rsidP="00A21763">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Projects </w:t>
            </w:r>
          </w:p>
        </w:tc>
        <w:tc>
          <w:tcPr>
            <w:tcW w:w="3840" w:type="dxa"/>
            <w:noWrap/>
          </w:tcPr>
          <w:p w14:paraId="7069B313" w14:textId="77777777" w:rsidR="00FA2F9C" w:rsidRPr="009F029C" w:rsidRDefault="00FA2F9C" w:rsidP="00FA2F9C">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33AC4615" w14:textId="7509DEA7" w:rsidR="00FA2F9C" w:rsidRPr="009F029C" w:rsidRDefault="00FA2F9C" w:rsidP="00A21763">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Projects </w:t>
            </w:r>
          </w:p>
        </w:tc>
      </w:tr>
      <w:tr w:rsidR="00FA2F9C" w:rsidRPr="006E3AF2" w14:paraId="679110FC" w14:textId="77777777" w:rsidTr="00FA2F9C">
        <w:tc>
          <w:tcPr>
            <w:tcW w:w="3100" w:type="dxa"/>
            <w:noWrap/>
            <w:vAlign w:val="center"/>
          </w:tcPr>
          <w:p w14:paraId="76B36BCE" w14:textId="2B904C37" w:rsidR="00FA2F9C" w:rsidRDefault="00FA2F9C" w:rsidP="00FA2F9C">
            <w:pPr>
              <w:spacing w:line="240" w:lineRule="auto"/>
            </w:pPr>
            <w:r>
              <w:t xml:space="preserve">B.16 </w:t>
            </w:r>
            <w:bookmarkStart w:id="27"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7"/>
            <w:r>
              <w:fldChar w:fldCharType="end"/>
            </w:r>
          </w:p>
        </w:tc>
        <w:tc>
          <w:tcPr>
            <w:tcW w:w="3840" w:type="dxa"/>
            <w:noWrap/>
          </w:tcPr>
          <w:p w14:paraId="5C3BB186" w14:textId="47853395" w:rsidR="00FA2F9C" w:rsidRPr="009F029C" w:rsidRDefault="00FA2F9C" w:rsidP="00FA2F9C">
            <w:pPr>
              <w:spacing w:line="240" w:lineRule="auto"/>
              <w:rPr>
                <w:b/>
              </w:rPr>
            </w:pPr>
            <w:r>
              <w:rPr>
                <w:b/>
              </w:rPr>
              <w:t>30</w:t>
            </w:r>
          </w:p>
        </w:tc>
        <w:tc>
          <w:tcPr>
            <w:tcW w:w="3840" w:type="dxa"/>
            <w:noWrap/>
          </w:tcPr>
          <w:p w14:paraId="79164CE6" w14:textId="5C18C7A0" w:rsidR="00FA2F9C" w:rsidRPr="009F029C" w:rsidRDefault="00FA2F9C" w:rsidP="00FA2F9C">
            <w:pPr>
              <w:spacing w:line="240" w:lineRule="auto"/>
              <w:rPr>
                <w:b/>
              </w:rPr>
            </w:pPr>
            <w:r>
              <w:rPr>
                <w:b/>
              </w:rPr>
              <w:t>20</w:t>
            </w:r>
          </w:p>
        </w:tc>
      </w:tr>
      <w:tr w:rsidR="00FA2F9C" w:rsidRPr="006E3AF2" w14:paraId="071E0CC5" w14:textId="77777777" w:rsidTr="00FA2F9C">
        <w:tc>
          <w:tcPr>
            <w:tcW w:w="3100" w:type="dxa"/>
            <w:noWrap/>
            <w:vAlign w:val="center"/>
          </w:tcPr>
          <w:p w14:paraId="479D5599" w14:textId="793C0065" w:rsidR="00FA2F9C" w:rsidRPr="006E3AF2" w:rsidRDefault="00FA2F9C" w:rsidP="00FA2F9C">
            <w:pPr>
              <w:spacing w:line="240" w:lineRule="auto"/>
            </w:pPr>
            <w:r>
              <w:t xml:space="preserve">B.17.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840" w:type="dxa"/>
            <w:noWrap/>
          </w:tcPr>
          <w:p w14:paraId="79E9B41B" w14:textId="77777777" w:rsidR="00FA2F9C" w:rsidRPr="009F029C" w:rsidRDefault="00FA2F9C" w:rsidP="00FA2F9C">
            <w:pPr>
              <w:spacing w:line="240" w:lineRule="auto"/>
              <w:rPr>
                <w:b/>
              </w:rPr>
            </w:pPr>
            <w:bookmarkStart w:id="28" w:name="competing"/>
            <w:bookmarkEnd w:id="28"/>
          </w:p>
        </w:tc>
        <w:tc>
          <w:tcPr>
            <w:tcW w:w="3840" w:type="dxa"/>
            <w:noWrap/>
          </w:tcPr>
          <w:p w14:paraId="15AF74BC" w14:textId="77777777" w:rsidR="00FA2F9C" w:rsidRPr="009F029C" w:rsidRDefault="00FA2F9C" w:rsidP="00FA2F9C">
            <w:pPr>
              <w:spacing w:line="240" w:lineRule="auto"/>
              <w:rPr>
                <w:b/>
              </w:rPr>
            </w:pPr>
          </w:p>
        </w:tc>
      </w:tr>
      <w:tr w:rsidR="00FA2F9C" w:rsidRPr="006E3AF2" w14:paraId="5CAD96CC" w14:textId="77777777" w:rsidTr="00FA2F9C">
        <w:tc>
          <w:tcPr>
            <w:tcW w:w="3100" w:type="dxa"/>
            <w:noWrap/>
            <w:vAlign w:val="center"/>
          </w:tcPr>
          <w:p w14:paraId="26DC8516" w14:textId="1C5BEAB4" w:rsidR="00FA2F9C" w:rsidRPr="006E3AF2" w:rsidRDefault="00FA2F9C" w:rsidP="00FA2F9C">
            <w:pPr>
              <w:spacing w:line="240" w:lineRule="auto"/>
            </w:pPr>
            <w:r>
              <w:t xml:space="preserve">B. 18. </w:t>
            </w:r>
            <w:r w:rsidRPr="00EC63A4">
              <w:t>Other changes, if any</w:t>
            </w:r>
          </w:p>
        </w:tc>
        <w:tc>
          <w:tcPr>
            <w:tcW w:w="7680" w:type="dxa"/>
            <w:gridSpan w:val="2"/>
            <w:noWrap/>
          </w:tcPr>
          <w:p w14:paraId="74EA5436" w14:textId="77777777" w:rsidR="00FA2F9C" w:rsidRPr="009F029C" w:rsidRDefault="00FA2F9C" w:rsidP="00FA2F9C">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6E189CCD" w:rsidR="00F64260" w:rsidRPr="00402602" w:rsidRDefault="00C3261E">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C3261E"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77777777" w:rsidR="00F64260" w:rsidRDefault="00F64260">
            <w:pPr>
              <w:spacing w:line="240" w:lineRule="auto"/>
            </w:pPr>
            <w:bookmarkStart w:id="29" w:name="outcomes"/>
            <w:bookmarkEnd w:id="29"/>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1DC7EB9"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6B2C7A47" w14:textId="5F91458F" w:rsidR="00115A68" w:rsidRDefault="008C683D" w:rsidP="00115A68">
            <w:pPr>
              <w:pStyle w:val="ListParagraph"/>
              <w:numPr>
                <w:ilvl w:val="1"/>
                <w:numId w:val="8"/>
              </w:numPr>
              <w:spacing w:line="240" w:lineRule="auto"/>
            </w:pPr>
            <w:bookmarkStart w:id="30" w:name="outline"/>
            <w:bookmarkEnd w:id="30"/>
            <w:r>
              <w:t>Materials covered will be the same as the previous SOC 309, just with a stronger emphasis on writing.</w:t>
            </w:r>
          </w:p>
        </w:tc>
      </w:tr>
    </w:tbl>
    <w:p w14:paraId="6819D7F8" w14:textId="357918E5"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780"/>
        <w:gridCol w:w="3651"/>
        <w:gridCol w:w="3190"/>
        <w:gridCol w:w="1159"/>
      </w:tblGrid>
      <w:tr w:rsidR="00115A68" w:rsidRPr="00402602" w14:paraId="67436BB2" w14:textId="77777777" w:rsidTr="00AA1B4B">
        <w:trPr>
          <w:cantSplit/>
          <w:tblHeader/>
        </w:trPr>
        <w:tc>
          <w:tcPr>
            <w:tcW w:w="2780" w:type="dxa"/>
            <w:vAlign w:val="center"/>
          </w:tcPr>
          <w:p w14:paraId="739386E3" w14:textId="77777777" w:rsidR="00115A68" w:rsidRPr="00A83A6C" w:rsidRDefault="00115A68" w:rsidP="0015571B">
            <w:pPr>
              <w:pStyle w:val="Heading5"/>
              <w:jc w:val="center"/>
            </w:pPr>
            <w:r w:rsidRPr="00A83A6C">
              <w:t>Name</w:t>
            </w:r>
          </w:p>
        </w:tc>
        <w:tc>
          <w:tcPr>
            <w:tcW w:w="3651" w:type="dxa"/>
            <w:vAlign w:val="center"/>
          </w:tcPr>
          <w:p w14:paraId="7DAAAD1E" w14:textId="77777777" w:rsidR="00115A68" w:rsidRPr="00A83A6C" w:rsidRDefault="00115A68" w:rsidP="0015571B">
            <w:pPr>
              <w:pStyle w:val="Heading5"/>
              <w:jc w:val="center"/>
            </w:pPr>
            <w:r w:rsidRPr="00A83A6C">
              <w:t>Position/affiliation</w:t>
            </w:r>
          </w:p>
        </w:tc>
        <w:bookmarkStart w:id="31" w:name="_Signature"/>
        <w:bookmarkEnd w:id="31"/>
        <w:tc>
          <w:tcPr>
            <w:tcW w:w="319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9"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AA1B4B">
        <w:trPr>
          <w:cantSplit/>
          <w:trHeight w:val="489"/>
        </w:trPr>
        <w:tc>
          <w:tcPr>
            <w:tcW w:w="2780" w:type="dxa"/>
            <w:vAlign w:val="center"/>
          </w:tcPr>
          <w:p w14:paraId="20877218" w14:textId="4613BEF1" w:rsidR="00115A68" w:rsidRDefault="00AA1B4B" w:rsidP="0015571B">
            <w:pPr>
              <w:spacing w:line="240" w:lineRule="auto"/>
            </w:pPr>
            <w:r>
              <w:t>Desirée Ciambrone</w:t>
            </w:r>
          </w:p>
        </w:tc>
        <w:tc>
          <w:tcPr>
            <w:tcW w:w="3651" w:type="dxa"/>
            <w:vAlign w:val="center"/>
          </w:tcPr>
          <w:p w14:paraId="0730C1D0" w14:textId="7E90F4FF" w:rsidR="00115A68" w:rsidRDefault="00115A68" w:rsidP="0015571B">
            <w:pPr>
              <w:spacing w:line="240" w:lineRule="auto"/>
            </w:pPr>
            <w:r>
              <w:t xml:space="preserve">Program Director of </w:t>
            </w:r>
            <w:r w:rsidR="00AA1B4B">
              <w:t>Justice Studies</w:t>
            </w:r>
          </w:p>
        </w:tc>
        <w:tc>
          <w:tcPr>
            <w:tcW w:w="3190" w:type="dxa"/>
            <w:vAlign w:val="center"/>
          </w:tcPr>
          <w:p w14:paraId="7487F9CA" w14:textId="77777777" w:rsidR="00115A68" w:rsidRDefault="00115A68" w:rsidP="0015571B">
            <w:pPr>
              <w:spacing w:line="240" w:lineRule="auto"/>
            </w:pPr>
          </w:p>
        </w:tc>
        <w:tc>
          <w:tcPr>
            <w:tcW w:w="1159" w:type="dxa"/>
            <w:vAlign w:val="center"/>
          </w:tcPr>
          <w:p w14:paraId="1F86A130" w14:textId="77777777" w:rsidR="00115A68" w:rsidRDefault="00115A68" w:rsidP="0015571B">
            <w:pPr>
              <w:spacing w:line="240" w:lineRule="auto"/>
            </w:pPr>
          </w:p>
        </w:tc>
      </w:tr>
      <w:tr w:rsidR="00115A68" w14:paraId="3308AC9C" w14:textId="77777777" w:rsidTr="00AA1B4B">
        <w:trPr>
          <w:cantSplit/>
          <w:trHeight w:val="489"/>
        </w:trPr>
        <w:tc>
          <w:tcPr>
            <w:tcW w:w="2780" w:type="dxa"/>
            <w:vAlign w:val="center"/>
          </w:tcPr>
          <w:p w14:paraId="2B0991B7" w14:textId="06FE7903" w:rsidR="00115A68" w:rsidRDefault="00AA1B4B" w:rsidP="0015571B">
            <w:pPr>
              <w:spacing w:line="240" w:lineRule="auto"/>
            </w:pPr>
            <w:r>
              <w:t>Mikaila Arthur</w:t>
            </w:r>
          </w:p>
        </w:tc>
        <w:tc>
          <w:tcPr>
            <w:tcW w:w="3651" w:type="dxa"/>
            <w:vAlign w:val="center"/>
          </w:tcPr>
          <w:p w14:paraId="2927DBCB" w14:textId="1A13DC7D" w:rsidR="00115A68" w:rsidRDefault="00115A68" w:rsidP="0015571B">
            <w:pPr>
              <w:spacing w:line="240" w:lineRule="auto"/>
            </w:pPr>
            <w:r>
              <w:t xml:space="preserve">Chair of </w:t>
            </w:r>
            <w:r w:rsidR="00AA1B4B">
              <w:t>Sociology</w:t>
            </w:r>
          </w:p>
        </w:tc>
        <w:tc>
          <w:tcPr>
            <w:tcW w:w="3190" w:type="dxa"/>
            <w:vAlign w:val="center"/>
          </w:tcPr>
          <w:p w14:paraId="7927CB11" w14:textId="77777777" w:rsidR="00115A68" w:rsidRDefault="00115A68" w:rsidP="0015571B">
            <w:pPr>
              <w:spacing w:line="240" w:lineRule="auto"/>
            </w:pPr>
          </w:p>
        </w:tc>
        <w:tc>
          <w:tcPr>
            <w:tcW w:w="1159" w:type="dxa"/>
            <w:vAlign w:val="center"/>
          </w:tcPr>
          <w:p w14:paraId="06A64098" w14:textId="77777777" w:rsidR="00115A68" w:rsidRDefault="00115A68" w:rsidP="0015571B">
            <w:pPr>
              <w:spacing w:line="240" w:lineRule="auto"/>
            </w:pPr>
          </w:p>
        </w:tc>
      </w:tr>
      <w:tr w:rsidR="00115A68" w14:paraId="5FB4CB46" w14:textId="77777777" w:rsidTr="00AA1B4B">
        <w:trPr>
          <w:cantSplit/>
          <w:trHeight w:val="489"/>
        </w:trPr>
        <w:tc>
          <w:tcPr>
            <w:tcW w:w="2780" w:type="dxa"/>
            <w:vAlign w:val="center"/>
          </w:tcPr>
          <w:p w14:paraId="6ED2A8A6" w14:textId="6B751425" w:rsidR="00115A68" w:rsidRDefault="00AA1B4B" w:rsidP="0015571B">
            <w:pPr>
              <w:spacing w:line="240" w:lineRule="auto"/>
            </w:pPr>
            <w:r>
              <w:lastRenderedPageBreak/>
              <w:t>Earl Simson</w:t>
            </w:r>
          </w:p>
        </w:tc>
        <w:tc>
          <w:tcPr>
            <w:tcW w:w="3651" w:type="dxa"/>
            <w:vAlign w:val="center"/>
          </w:tcPr>
          <w:p w14:paraId="229CC930" w14:textId="0592C828" w:rsidR="00115A68" w:rsidRDefault="00115A68" w:rsidP="0015571B">
            <w:pPr>
              <w:spacing w:line="240" w:lineRule="auto"/>
            </w:pPr>
            <w:r>
              <w:t xml:space="preserve">Dean of </w:t>
            </w:r>
            <w:r w:rsidR="00AA1B4B">
              <w:t>FAS</w:t>
            </w:r>
          </w:p>
        </w:tc>
        <w:tc>
          <w:tcPr>
            <w:tcW w:w="3190" w:type="dxa"/>
            <w:vAlign w:val="center"/>
          </w:tcPr>
          <w:p w14:paraId="73DF0B07" w14:textId="77777777" w:rsidR="00115A68" w:rsidRDefault="00115A68" w:rsidP="0015571B">
            <w:pPr>
              <w:spacing w:line="240" w:lineRule="auto"/>
            </w:pPr>
          </w:p>
        </w:tc>
        <w:tc>
          <w:tcPr>
            <w:tcW w:w="1159" w:type="dxa"/>
            <w:vAlign w:val="center"/>
          </w:tcPr>
          <w:p w14:paraId="4EB70E84" w14:textId="77A10FE2" w:rsidR="00115A68" w:rsidRDefault="00115A68" w:rsidP="00A21763">
            <w:pPr>
              <w:spacing w:line="240" w:lineRule="auto"/>
            </w:pPr>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2" w:name="acknowledge"/>
        <w:bookmarkEnd w:id="32"/>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C3261E"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3" w:name="Signature_2"/>
            <w:bookmarkEnd w:id="33"/>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0E146" w14:textId="77777777" w:rsidR="00C3261E" w:rsidRDefault="00C3261E" w:rsidP="00FA78CA">
      <w:pPr>
        <w:spacing w:line="240" w:lineRule="auto"/>
      </w:pPr>
      <w:r>
        <w:separator/>
      </w:r>
    </w:p>
  </w:endnote>
  <w:endnote w:type="continuationSeparator" w:id="0">
    <w:p w14:paraId="02507009" w14:textId="77777777" w:rsidR="00C3261E" w:rsidRDefault="00C3261E"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41935039"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536BE1">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536BE1">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D4F82" w14:textId="77777777" w:rsidR="00C3261E" w:rsidRDefault="00C3261E" w:rsidP="00FA78CA">
      <w:pPr>
        <w:spacing w:line="240" w:lineRule="auto"/>
      </w:pPr>
      <w:r>
        <w:separator/>
      </w:r>
    </w:p>
  </w:footnote>
  <w:footnote w:type="continuationSeparator" w:id="0">
    <w:p w14:paraId="15EA49E0" w14:textId="77777777" w:rsidR="00C3261E" w:rsidRDefault="00C3261E"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3434E737"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8C683D">
      <w:rPr>
        <w:color w:val="4F6228"/>
      </w:rPr>
      <w:t>19-20-031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8C683D">
      <w:rPr>
        <w:color w:val="4F6228"/>
      </w:rPr>
      <w:t>11/16/2019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D6F60"/>
    <w:rsid w:val="000E2CBA"/>
    <w:rsid w:val="001010FA"/>
    <w:rsid w:val="00101BA4"/>
    <w:rsid w:val="0010291E"/>
    <w:rsid w:val="00115A68"/>
    <w:rsid w:val="0011690A"/>
    <w:rsid w:val="00120C12"/>
    <w:rsid w:val="00121333"/>
    <w:rsid w:val="001278A4"/>
    <w:rsid w:val="0013176C"/>
    <w:rsid w:val="00131B87"/>
    <w:rsid w:val="001429AA"/>
    <w:rsid w:val="00146010"/>
    <w:rsid w:val="00176C55"/>
    <w:rsid w:val="00181A4B"/>
    <w:rsid w:val="001A37FB"/>
    <w:rsid w:val="001A51ED"/>
    <w:rsid w:val="001A5CF2"/>
    <w:rsid w:val="001B2E3A"/>
    <w:rsid w:val="0020058E"/>
    <w:rsid w:val="00237355"/>
    <w:rsid w:val="00241866"/>
    <w:rsid w:val="002578DB"/>
    <w:rsid w:val="0026461B"/>
    <w:rsid w:val="002670B8"/>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02139"/>
    <w:rsid w:val="00310D95"/>
    <w:rsid w:val="003153C3"/>
    <w:rsid w:val="0034292A"/>
    <w:rsid w:val="00345149"/>
    <w:rsid w:val="00376A8B"/>
    <w:rsid w:val="00392A14"/>
    <w:rsid w:val="003A45F6"/>
    <w:rsid w:val="003A6805"/>
    <w:rsid w:val="003B4A52"/>
    <w:rsid w:val="003C1A54"/>
    <w:rsid w:val="003C511E"/>
    <w:rsid w:val="003D51C7"/>
    <w:rsid w:val="003D7372"/>
    <w:rsid w:val="003F099C"/>
    <w:rsid w:val="003F1F56"/>
    <w:rsid w:val="003F4E82"/>
    <w:rsid w:val="00402602"/>
    <w:rsid w:val="004105B6"/>
    <w:rsid w:val="00422BC5"/>
    <w:rsid w:val="004254A0"/>
    <w:rsid w:val="004313E6"/>
    <w:rsid w:val="004403BD"/>
    <w:rsid w:val="00442EEA"/>
    <w:rsid w:val="004779B4"/>
    <w:rsid w:val="00480FAA"/>
    <w:rsid w:val="00483D0C"/>
    <w:rsid w:val="00483F86"/>
    <w:rsid w:val="00495FEB"/>
    <w:rsid w:val="004E57C5"/>
    <w:rsid w:val="00517DB2"/>
    <w:rsid w:val="00536BE1"/>
    <w:rsid w:val="00546FE9"/>
    <w:rsid w:val="005473BC"/>
    <w:rsid w:val="005873E3"/>
    <w:rsid w:val="005975A2"/>
    <w:rsid w:val="00597A06"/>
    <w:rsid w:val="005A2C93"/>
    <w:rsid w:val="005B1049"/>
    <w:rsid w:val="005C23BD"/>
    <w:rsid w:val="005C3F83"/>
    <w:rsid w:val="005D389E"/>
    <w:rsid w:val="005F2A05"/>
    <w:rsid w:val="00627B0B"/>
    <w:rsid w:val="00670386"/>
    <w:rsid w:val="00670869"/>
    <w:rsid w:val="006761E1"/>
    <w:rsid w:val="006970B0"/>
    <w:rsid w:val="006B20A9"/>
    <w:rsid w:val="006C452A"/>
    <w:rsid w:val="006E3AF2"/>
    <w:rsid w:val="006E6680"/>
    <w:rsid w:val="006F7F90"/>
    <w:rsid w:val="00704CFF"/>
    <w:rsid w:val="00706745"/>
    <w:rsid w:val="007072F7"/>
    <w:rsid w:val="00714B57"/>
    <w:rsid w:val="0074235B"/>
    <w:rsid w:val="00743AD2"/>
    <w:rsid w:val="007445F4"/>
    <w:rsid w:val="0075379E"/>
    <w:rsid w:val="007554DE"/>
    <w:rsid w:val="00760EA6"/>
    <w:rsid w:val="00766256"/>
    <w:rsid w:val="00795D54"/>
    <w:rsid w:val="00796AF7"/>
    <w:rsid w:val="007970C3"/>
    <w:rsid w:val="007A50C7"/>
    <w:rsid w:val="007A5702"/>
    <w:rsid w:val="007B10BE"/>
    <w:rsid w:val="007E6A9B"/>
    <w:rsid w:val="008122C6"/>
    <w:rsid w:val="00844277"/>
    <w:rsid w:val="0085229B"/>
    <w:rsid w:val="008555D8"/>
    <w:rsid w:val="00857029"/>
    <w:rsid w:val="008628B1"/>
    <w:rsid w:val="00865915"/>
    <w:rsid w:val="00872775"/>
    <w:rsid w:val="008745BA"/>
    <w:rsid w:val="00874BED"/>
    <w:rsid w:val="00880392"/>
    <w:rsid w:val="008836DF"/>
    <w:rsid w:val="008847FE"/>
    <w:rsid w:val="0089234B"/>
    <w:rsid w:val="008927AF"/>
    <w:rsid w:val="0089400B"/>
    <w:rsid w:val="008B1F84"/>
    <w:rsid w:val="008C683D"/>
    <w:rsid w:val="008D0F23"/>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21763"/>
    <w:rsid w:val="00A32214"/>
    <w:rsid w:val="00A442D7"/>
    <w:rsid w:val="00A533E3"/>
    <w:rsid w:val="00A54783"/>
    <w:rsid w:val="00A5525B"/>
    <w:rsid w:val="00A56D5F"/>
    <w:rsid w:val="00A6264E"/>
    <w:rsid w:val="00A703CD"/>
    <w:rsid w:val="00A76B76"/>
    <w:rsid w:val="00A83A6C"/>
    <w:rsid w:val="00A85BAB"/>
    <w:rsid w:val="00A87611"/>
    <w:rsid w:val="00A94B5A"/>
    <w:rsid w:val="00A960DC"/>
    <w:rsid w:val="00AA1B4B"/>
    <w:rsid w:val="00AC268C"/>
    <w:rsid w:val="00AC3032"/>
    <w:rsid w:val="00AC57C5"/>
    <w:rsid w:val="00AE78C2"/>
    <w:rsid w:val="00AE7A3D"/>
    <w:rsid w:val="00B12BAB"/>
    <w:rsid w:val="00B20954"/>
    <w:rsid w:val="00B22D81"/>
    <w:rsid w:val="00B24AAC"/>
    <w:rsid w:val="00B26F16"/>
    <w:rsid w:val="00B35315"/>
    <w:rsid w:val="00B4771F"/>
    <w:rsid w:val="00B4784B"/>
    <w:rsid w:val="00B51B79"/>
    <w:rsid w:val="00B605CE"/>
    <w:rsid w:val="00B64763"/>
    <w:rsid w:val="00B649C4"/>
    <w:rsid w:val="00B77369"/>
    <w:rsid w:val="00B82B64"/>
    <w:rsid w:val="00B85F49"/>
    <w:rsid w:val="00B862BF"/>
    <w:rsid w:val="00B87B39"/>
    <w:rsid w:val="00BB11B9"/>
    <w:rsid w:val="00BC42B6"/>
    <w:rsid w:val="00BE7D2F"/>
    <w:rsid w:val="00BF1795"/>
    <w:rsid w:val="00BF30C5"/>
    <w:rsid w:val="00C0654C"/>
    <w:rsid w:val="00C11283"/>
    <w:rsid w:val="00C23348"/>
    <w:rsid w:val="00C25F9D"/>
    <w:rsid w:val="00C31E83"/>
    <w:rsid w:val="00C3261E"/>
    <w:rsid w:val="00C344AB"/>
    <w:rsid w:val="00C518C1"/>
    <w:rsid w:val="00C53751"/>
    <w:rsid w:val="00C63F4F"/>
    <w:rsid w:val="00C94576"/>
    <w:rsid w:val="00C969FA"/>
    <w:rsid w:val="00C97577"/>
    <w:rsid w:val="00CA71A8"/>
    <w:rsid w:val="00CC03A7"/>
    <w:rsid w:val="00CC3E7A"/>
    <w:rsid w:val="00CD18DD"/>
    <w:rsid w:val="00CF0458"/>
    <w:rsid w:val="00D56C09"/>
    <w:rsid w:val="00D64DF4"/>
    <w:rsid w:val="00D65F02"/>
    <w:rsid w:val="00D75B84"/>
    <w:rsid w:val="00D75FF8"/>
    <w:rsid w:val="00D96C1E"/>
    <w:rsid w:val="00DA1CC6"/>
    <w:rsid w:val="00DA73A0"/>
    <w:rsid w:val="00DB23D4"/>
    <w:rsid w:val="00DB63D4"/>
    <w:rsid w:val="00DD69AE"/>
    <w:rsid w:val="00DD7326"/>
    <w:rsid w:val="00DE2B7A"/>
    <w:rsid w:val="00DF0A1C"/>
    <w:rsid w:val="00DF4FCD"/>
    <w:rsid w:val="00DF6C19"/>
    <w:rsid w:val="00DF7C07"/>
    <w:rsid w:val="00E056B4"/>
    <w:rsid w:val="00E36AF7"/>
    <w:rsid w:val="00E4755D"/>
    <w:rsid w:val="00E51AEB"/>
    <w:rsid w:val="00E641DE"/>
    <w:rsid w:val="00EB33FD"/>
    <w:rsid w:val="00EC194E"/>
    <w:rsid w:val="00EC63A4"/>
    <w:rsid w:val="00EC7B24"/>
    <w:rsid w:val="00ED1712"/>
    <w:rsid w:val="00F15B95"/>
    <w:rsid w:val="00F3256C"/>
    <w:rsid w:val="00F32980"/>
    <w:rsid w:val="00F338BB"/>
    <w:rsid w:val="00F42F5D"/>
    <w:rsid w:val="00F542F2"/>
    <w:rsid w:val="00F62BE0"/>
    <w:rsid w:val="00F64260"/>
    <w:rsid w:val="00F71A36"/>
    <w:rsid w:val="00F871BA"/>
    <w:rsid w:val="00FA2F9C"/>
    <w:rsid w:val="00FA6359"/>
    <w:rsid w:val="00FA6998"/>
    <w:rsid w:val="00FA769F"/>
    <w:rsid w:val="00FA78CA"/>
    <w:rsid w:val="00FB1042"/>
    <w:rsid w:val="00FE19CB"/>
    <w:rsid w:val="00FE6A1D"/>
    <w:rsid w:val="00FF6E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219743">
      <w:bodyDiv w:val="1"/>
      <w:marLeft w:val="0"/>
      <w:marRight w:val="0"/>
      <w:marTop w:val="0"/>
      <w:marBottom w:val="0"/>
      <w:divBdr>
        <w:top w:val="none" w:sz="0" w:space="0" w:color="auto"/>
        <w:left w:val="none" w:sz="0" w:space="0" w:color="auto"/>
        <w:bottom w:val="none" w:sz="0" w:space="0" w:color="auto"/>
        <w:right w:val="none" w:sz="0" w:space="0" w:color="auto"/>
      </w:divBdr>
      <w:divsChild>
        <w:div w:id="1309553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57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3073">
      <w:bodyDiv w:val="1"/>
      <w:marLeft w:val="0"/>
      <w:marRight w:val="0"/>
      <w:marTop w:val="0"/>
      <w:marBottom w:val="0"/>
      <w:divBdr>
        <w:top w:val="none" w:sz="0" w:space="0" w:color="auto"/>
        <w:left w:val="none" w:sz="0" w:space="0" w:color="auto"/>
        <w:bottom w:val="none" w:sz="0" w:space="0" w:color="auto"/>
        <w:right w:val="none" w:sz="0" w:space="0" w:color="auto"/>
      </w:divBdr>
    </w:div>
    <w:div w:id="2141265751">
      <w:bodyDiv w:val="1"/>
      <w:marLeft w:val="0"/>
      <w:marRight w:val="0"/>
      <w:marTop w:val="0"/>
      <w:marBottom w:val="0"/>
      <w:divBdr>
        <w:top w:val="none" w:sz="0" w:space="0" w:color="auto"/>
        <w:left w:val="none" w:sz="0" w:space="0" w:color="auto"/>
        <w:bottom w:val="none" w:sz="0" w:space="0" w:color="auto"/>
        <w:right w:val="none" w:sz="0" w:space="0" w:color="auto"/>
      </w:divBdr>
      <w:divsChild>
        <w:div w:id="943809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67Z3ZXSPZZWZ-949-1099</_dlc_DocId>
    <_dlc_DocIdUrl xmlns="67887a43-7e4d-4c1c-91d7-15e417b1b8ab">
      <Url>https://w3.ric.edu/curriculum_committee/_layouts/15/DocIdRedir.aspx?ID=67Z3ZXSPZZWZ-949-1099</Url>
      <Description>67Z3ZXSPZZWZ-949-1099</Description>
    </_dlc_DocIdUrl>
  </documentManagement>
</p:properties>
</file>

<file path=customXml/itemProps1.xml><?xml version="1.0" encoding="utf-8"?>
<ds:datastoreItem xmlns:ds="http://schemas.openxmlformats.org/officeDocument/2006/customXml" ds:itemID="{4A535C57-027C-4C0E-A3CA-C3D366593511}"/>
</file>

<file path=customXml/itemProps2.xml><?xml version="1.0" encoding="utf-8"?>
<ds:datastoreItem xmlns:ds="http://schemas.openxmlformats.org/officeDocument/2006/customXml" ds:itemID="{BCE31C9A-0AA4-421D-B7D5-66AEE83F7DDB}"/>
</file>

<file path=customXml/itemProps3.xml><?xml version="1.0" encoding="utf-8"?>
<ds:datastoreItem xmlns:ds="http://schemas.openxmlformats.org/officeDocument/2006/customXml" ds:itemID="{A15AC1B3-BEEE-482A-A9CD-E976D17FBD21}"/>
</file>

<file path=customXml/itemProps4.xml><?xml version="1.0" encoding="utf-8"?>
<ds:datastoreItem xmlns:ds="http://schemas.openxmlformats.org/officeDocument/2006/customXml" ds:itemID="{3F1A640C-01F6-4184-BB14-B73FD3E56066}"/>
</file>

<file path=docProps/app.xml><?xml version="1.0" encoding="utf-8"?>
<Properties xmlns="http://schemas.openxmlformats.org/officeDocument/2006/extended-properties" xmlns:vt="http://schemas.openxmlformats.org/officeDocument/2006/docPropsVTypes">
  <Template>Normal.dotm</Template>
  <TotalTime>131</TotalTime>
  <Pages>4</Pages>
  <Words>2763</Words>
  <Characters>14180</Characters>
  <Application>Microsoft Office Word</Application>
  <DocSecurity>0</DocSecurity>
  <Lines>590</Lines>
  <Paragraphs>368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31</cp:revision>
  <cp:lastPrinted>2019-11-06T12:41:00Z</cp:lastPrinted>
  <dcterms:created xsi:type="dcterms:W3CDTF">2019-09-18T14:12:00Z</dcterms:created>
  <dcterms:modified xsi:type="dcterms:W3CDTF">2020-03-04T21:04:00Z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ed2201c1-0bdd-41aa-8ab4-63b269137b0e</vt:lpwstr>
  </property>
  <property fmtid="{D5CDD505-2E9C-101B-9397-08002B2CF9AE}" pid="8" name="ContentTypeId">
    <vt:lpwstr>0x0101009736D43DC7C38546B966A7508121890B</vt:lpwstr>
  </property>
</Properties>
</file>