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613E84A" w:rsidR="00F64260" w:rsidRPr="00A83A6C" w:rsidRDefault="003D01CA" w:rsidP="00B862BF">
            <w:pPr>
              <w:pStyle w:val="Heading5"/>
              <w:rPr>
                <w:b/>
              </w:rPr>
            </w:pPr>
            <w:bookmarkStart w:id="0" w:name="Proposal"/>
            <w:bookmarkEnd w:id="0"/>
            <w:r>
              <w:rPr>
                <w:b/>
              </w:rPr>
              <w:t xml:space="preserve">ENGL 300 </w:t>
            </w:r>
            <w:r w:rsidR="00246774">
              <w:rPr>
                <w:b/>
              </w:rPr>
              <w:t>Introduction to Theory and Criticism</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E776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AD80950"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37DCF30" w:rsidR="00F64260" w:rsidRPr="00B605CE" w:rsidRDefault="00CA336B" w:rsidP="00B862BF">
            <w:pPr>
              <w:rPr>
                <w:b/>
              </w:rPr>
            </w:pPr>
            <w:bookmarkStart w:id="6" w:name="Originator"/>
            <w:bookmarkEnd w:id="6"/>
            <w:r>
              <w:rPr>
                <w:b/>
              </w:rPr>
              <w:t>Sue Abbotson</w:t>
            </w:r>
          </w:p>
        </w:tc>
        <w:tc>
          <w:tcPr>
            <w:tcW w:w="1210" w:type="pct"/>
          </w:tcPr>
          <w:p w14:paraId="788D9512" w14:textId="19B60691" w:rsidR="00F64260" w:rsidRPr="00946B20" w:rsidRDefault="005E776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1C4C9F1" w:rsidR="00F64260" w:rsidRPr="00B605CE" w:rsidRDefault="00CA336B" w:rsidP="00B862BF">
            <w:pPr>
              <w:rPr>
                <w:b/>
              </w:rPr>
            </w:pPr>
            <w:bookmarkStart w:id="7" w:name="home_dept"/>
            <w:bookmarkEnd w:id="7"/>
            <w:r>
              <w:rPr>
                <w:b/>
              </w:rPr>
              <w:t>English (Chair CUCI)</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D4A7206" w14:textId="4A5BCD91" w:rsidR="00F64260" w:rsidRDefault="00CA336B">
            <w:pPr>
              <w:spacing w:line="240" w:lineRule="auto"/>
              <w:rPr>
                <w:b/>
              </w:rPr>
            </w:pPr>
            <w:r>
              <w:rPr>
                <w:b/>
              </w:rPr>
              <w:t>Given the department’s plans to add an additional concentration in Professional Writing that</w:t>
            </w:r>
            <w:r>
              <w:rPr>
                <w:b/>
              </w:rPr>
              <w:t xml:space="preserve"> will require this course</w:t>
            </w:r>
            <w:r>
              <w:rPr>
                <w:b/>
              </w:rPr>
              <w:t>, and the current demands of the field in general, we wanted to make the description a little less Literature-centric to allow for other types of criticism within the field of English studies to be included.</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3E4BB36" w:rsidR="00517DB2" w:rsidRPr="00B649C4" w:rsidRDefault="00CA336B" w:rsidP="00517DB2">
            <w:pPr>
              <w:rPr>
                <w:b/>
              </w:rPr>
            </w:pPr>
            <w:bookmarkStart w:id="9" w:name="student_impact"/>
            <w:bookmarkEnd w:id="9"/>
            <w:r>
              <w:rPr>
                <w:b/>
              </w:rPr>
              <w:t>This will allow the course to be offered with a greater variety of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14A055A" w:rsidR="00517DB2" w:rsidRPr="00B649C4" w:rsidRDefault="00CA336B"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E776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A2C3786" w:rsidR="008D52B7" w:rsidRPr="00C25F9D" w:rsidRDefault="00CA336B"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E776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DDF120A" w:rsidR="008D52B7" w:rsidRPr="00C25F9D" w:rsidRDefault="00CA336B"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E776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E66B9C2" w:rsidR="008D52B7" w:rsidRPr="00C25F9D" w:rsidRDefault="00CA336B"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E776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1D2EFC9" w:rsidR="008D52B7" w:rsidRPr="00C25F9D" w:rsidRDefault="00CA336B"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A3A24E8" w:rsidR="00F64260" w:rsidRPr="00B605CE" w:rsidRDefault="00CA336B"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1F5F262A" w14:textId="77777777" w:rsidR="00CA336B" w:rsidRDefault="00CA336B" w:rsidP="00C344AB"/>
    <w:p w14:paraId="01D8C82F" w14:textId="77777777" w:rsidR="00CA336B" w:rsidRDefault="00CA336B" w:rsidP="00C344AB"/>
    <w:p w14:paraId="143FB958" w14:textId="77777777" w:rsidR="00CA336B" w:rsidRDefault="00CA336B" w:rsidP="00C344AB"/>
    <w:p w14:paraId="4333A654" w14:textId="77777777" w:rsidR="00CA336B" w:rsidRDefault="00CA336B" w:rsidP="00C344AB"/>
    <w:p w14:paraId="35D53698" w14:textId="6BB6143F"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D9D6B14" w:rsidR="00F64260" w:rsidRPr="009F029C" w:rsidRDefault="00CA336B" w:rsidP="001429AA">
            <w:pPr>
              <w:spacing w:line="240" w:lineRule="auto"/>
              <w:rPr>
                <w:b/>
              </w:rPr>
            </w:pPr>
            <w:bookmarkStart w:id="13" w:name="cours_title"/>
            <w:bookmarkEnd w:id="13"/>
            <w:r>
              <w:rPr>
                <w:b/>
              </w:rPr>
              <w:t>ENGL 300</w:t>
            </w:r>
          </w:p>
        </w:tc>
        <w:tc>
          <w:tcPr>
            <w:tcW w:w="3924" w:type="dxa"/>
            <w:noWrap/>
          </w:tcPr>
          <w:p w14:paraId="6540064C" w14:textId="7B8AB013" w:rsidR="00F64260" w:rsidRPr="009F029C" w:rsidRDefault="00CA336B" w:rsidP="001429AA">
            <w:pPr>
              <w:spacing w:line="240" w:lineRule="auto"/>
              <w:rPr>
                <w:b/>
              </w:rPr>
            </w:pPr>
            <w:r>
              <w:rPr>
                <w:b/>
              </w:rPr>
              <w:t>ENGL 300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E255F36" w:rsidR="00F64260" w:rsidRPr="009F029C" w:rsidRDefault="00CA336B" w:rsidP="001429AA">
            <w:pPr>
              <w:spacing w:line="240" w:lineRule="auto"/>
              <w:rPr>
                <w:b/>
              </w:rPr>
            </w:pPr>
            <w:bookmarkStart w:id="14" w:name="title"/>
            <w:bookmarkEnd w:id="14"/>
            <w:r>
              <w:rPr>
                <w:b/>
              </w:rPr>
              <w:t>Introduction to Theory and Criticism</w:t>
            </w:r>
          </w:p>
        </w:tc>
        <w:tc>
          <w:tcPr>
            <w:tcW w:w="3924" w:type="dxa"/>
            <w:noWrap/>
          </w:tcPr>
          <w:p w14:paraId="2B9DB727" w14:textId="3822CFEE" w:rsidR="00F64260" w:rsidRPr="009F029C" w:rsidRDefault="00CA336B" w:rsidP="001429AA">
            <w:pPr>
              <w:spacing w:line="240" w:lineRule="auto"/>
              <w:rPr>
                <w:b/>
              </w:rPr>
            </w:pPr>
            <w:r>
              <w:rPr>
                <w:b/>
              </w:rPr>
              <w:t>Introduction to Theory and Criticism</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5E1689" w14:textId="77777777" w:rsidR="00CA336B" w:rsidRPr="00CA336B" w:rsidRDefault="00CA336B" w:rsidP="00CA336B">
            <w:pPr>
              <w:pStyle w:val="NormalWeb"/>
              <w:rPr>
                <w:rFonts w:asciiTheme="minorHAnsi" w:hAnsiTheme="minorHAnsi"/>
                <w:b/>
                <w:sz w:val="22"/>
                <w:szCs w:val="22"/>
              </w:rPr>
            </w:pPr>
            <w:bookmarkStart w:id="15" w:name="description"/>
            <w:bookmarkEnd w:id="15"/>
            <w:r w:rsidRPr="00CA336B">
              <w:rPr>
                <w:rFonts w:asciiTheme="minorHAnsi" w:hAnsiTheme="minorHAnsi"/>
                <w:b/>
                <w:sz w:val="22"/>
                <w:szCs w:val="22"/>
              </w:rPr>
              <w:t xml:space="preserve">Students read a range of critical and literary theories and consider fundamental issues of literary interpretation including the assumptions involved in reading and writing about texts. (Formerly ENGL 202) </w:t>
            </w:r>
          </w:p>
          <w:p w14:paraId="7D376918" w14:textId="77777777" w:rsidR="00F64260" w:rsidRPr="00CA336B" w:rsidRDefault="00F64260" w:rsidP="009F029C">
            <w:pPr>
              <w:tabs>
                <w:tab w:val="left" w:pos="690"/>
              </w:tabs>
              <w:spacing w:line="240" w:lineRule="auto"/>
              <w:rPr>
                <w:rFonts w:asciiTheme="minorHAnsi" w:hAnsiTheme="minorHAnsi"/>
                <w:b/>
              </w:rPr>
            </w:pPr>
          </w:p>
        </w:tc>
        <w:tc>
          <w:tcPr>
            <w:tcW w:w="3924" w:type="dxa"/>
            <w:noWrap/>
          </w:tcPr>
          <w:p w14:paraId="51C7BE85" w14:textId="5852905D" w:rsidR="00F64260" w:rsidRPr="00CA336B" w:rsidRDefault="00CA336B" w:rsidP="00CA336B">
            <w:pPr>
              <w:pStyle w:val="NormalWeb"/>
              <w:rPr>
                <w:rFonts w:asciiTheme="minorHAnsi" w:hAnsiTheme="minorHAnsi"/>
                <w:b/>
                <w:sz w:val="22"/>
                <w:szCs w:val="22"/>
              </w:rPr>
            </w:pPr>
            <w:r w:rsidRPr="00CA336B">
              <w:rPr>
                <w:rFonts w:asciiTheme="minorHAnsi" w:hAnsiTheme="minorHAnsi" w:cs="Calibri"/>
                <w:b/>
                <w:bCs/>
                <w:color w:val="444444"/>
                <w:sz w:val="22"/>
                <w:szCs w:val="22"/>
                <w:shd w:val="clear" w:color="auto" w:fill="FFFFFF"/>
              </w:rPr>
              <w:t>Students read a range of </w:t>
            </w:r>
            <w:r w:rsidRPr="00CA336B">
              <w:rPr>
                <w:rFonts w:asciiTheme="minorHAnsi" w:hAnsiTheme="minorHAnsi" w:cs="Calibri"/>
                <w:b/>
                <w:bCs/>
                <w:color w:val="000000"/>
                <w:sz w:val="22"/>
                <w:szCs w:val="22"/>
                <w:shd w:val="clear" w:color="auto" w:fill="FFFFFF"/>
              </w:rPr>
              <w:t>critical and cultural theories </w:t>
            </w:r>
            <w:r w:rsidRPr="00CA336B">
              <w:rPr>
                <w:rFonts w:asciiTheme="minorHAnsi" w:hAnsiTheme="minorHAnsi" w:cs="Calibri"/>
                <w:b/>
                <w:bCs/>
                <w:color w:val="444444"/>
                <w:sz w:val="22"/>
                <w:szCs w:val="22"/>
                <w:shd w:val="clear" w:color="auto" w:fill="FFFFFF"/>
              </w:rPr>
              <w:t>and </w:t>
            </w:r>
            <w:r w:rsidRPr="00CA336B">
              <w:rPr>
                <w:rFonts w:asciiTheme="minorHAnsi" w:hAnsiTheme="minorHAnsi" w:cs="Calibri"/>
                <w:b/>
                <w:bCs/>
                <w:color w:val="201F1E"/>
                <w:sz w:val="22"/>
                <w:szCs w:val="22"/>
                <w:shd w:val="clear" w:color="auto" w:fill="FFFFFF"/>
              </w:rPr>
              <w:t>consider fundamental issues of language, interpretation, and authorship</w:t>
            </w:r>
            <w:r w:rsidR="006A1247">
              <w:rPr>
                <w:rFonts w:asciiTheme="minorHAnsi" w:hAnsiTheme="minorHAnsi" w:cs="Calibri"/>
                <w:b/>
                <w:bCs/>
                <w:color w:val="201F1E"/>
                <w:sz w:val="22"/>
                <w:szCs w:val="22"/>
                <w:shd w:val="clear" w:color="auto" w:fill="FFFFFF"/>
              </w:rPr>
              <w:t>,</w:t>
            </w:r>
            <w:r w:rsidRPr="00CA336B">
              <w:rPr>
                <w:rFonts w:asciiTheme="minorHAnsi" w:hAnsiTheme="minorHAnsi" w:cs="Calibri"/>
                <w:b/>
                <w:bCs/>
                <w:color w:val="201F1E"/>
                <w:sz w:val="22"/>
                <w:szCs w:val="22"/>
                <w:shd w:val="clear" w:color="auto" w:fill="FFFFFF"/>
              </w:rPr>
              <w:t> </w:t>
            </w:r>
            <w:r w:rsidRPr="00CA336B">
              <w:rPr>
                <w:rFonts w:asciiTheme="minorHAnsi" w:hAnsiTheme="minorHAnsi" w:cs="Calibri"/>
                <w:b/>
                <w:bCs/>
                <w:color w:val="444444"/>
                <w:sz w:val="22"/>
                <w:szCs w:val="22"/>
                <w:shd w:val="clear" w:color="auto" w:fill="FFFFFF"/>
              </w:rPr>
              <w:t>including the assumptions involved in reading and writing texts. </w:t>
            </w:r>
            <w:r w:rsidRPr="00CA336B">
              <w:rPr>
                <w:rFonts w:asciiTheme="minorHAnsi" w:hAnsiTheme="minorHAnsi"/>
                <w:b/>
                <w:sz w:val="22"/>
                <w:szCs w:val="22"/>
              </w:rPr>
              <w:t>(Formerly ENGL 202)</w:t>
            </w:r>
            <w:bookmarkStart w:id="16" w:name="_GoBack"/>
            <w:bookmarkEnd w:id="16"/>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97FE961" w:rsidR="00F64260" w:rsidRPr="009F029C" w:rsidRDefault="00F64260" w:rsidP="000A36CD">
            <w:pPr>
              <w:spacing w:line="240" w:lineRule="auto"/>
              <w:rPr>
                <w:b/>
                <w:sz w:val="20"/>
              </w:rPr>
            </w:pPr>
          </w:p>
        </w:tc>
        <w:tc>
          <w:tcPr>
            <w:tcW w:w="3924" w:type="dxa"/>
            <w:noWrap/>
          </w:tcPr>
          <w:p w14:paraId="67D1137F" w14:textId="1291C297"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E74FFA2" w:rsidR="00F64260" w:rsidRPr="009F029C" w:rsidRDefault="00F64260" w:rsidP="001429AA">
            <w:pPr>
              <w:spacing w:line="240" w:lineRule="auto"/>
              <w:rPr>
                <w:b/>
                <w:sz w:val="20"/>
              </w:rPr>
            </w:pPr>
          </w:p>
        </w:tc>
        <w:tc>
          <w:tcPr>
            <w:tcW w:w="3924" w:type="dxa"/>
            <w:noWrap/>
          </w:tcPr>
          <w:p w14:paraId="2CF717EE" w14:textId="23FB6596"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B290E12" w:rsidR="00F64260" w:rsidRPr="009F029C" w:rsidRDefault="00F64260" w:rsidP="006B20A9">
            <w:pPr>
              <w:spacing w:line="240" w:lineRule="auto"/>
              <w:rPr>
                <w:b/>
                <w:sz w:val="20"/>
              </w:rPr>
            </w:pPr>
            <w:bookmarkStart w:id="21" w:name="instr_methods"/>
            <w:bookmarkEnd w:id="21"/>
          </w:p>
        </w:tc>
        <w:tc>
          <w:tcPr>
            <w:tcW w:w="3924" w:type="dxa"/>
            <w:noWrap/>
          </w:tcPr>
          <w:p w14:paraId="27D66483" w14:textId="7CE2CDBA"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0CF925D" w:rsidR="00F64260" w:rsidRPr="009F029C" w:rsidRDefault="00CA336B" w:rsidP="00A87611">
            <w:pPr>
              <w:spacing w:line="240" w:lineRule="auto"/>
              <w:rPr>
                <w:b/>
                <w:sz w:val="20"/>
              </w:rPr>
            </w:pPr>
            <w:bookmarkStart w:id="22" w:name="required"/>
            <w:bookmarkEnd w:id="22"/>
            <w:r w:rsidRPr="009F029C">
              <w:rPr>
                <w:b/>
                <w:sz w:val="20"/>
              </w:rPr>
              <w:t>Required for major/</w:t>
            </w:r>
            <w:proofErr w:type="gramStart"/>
            <w:r w:rsidRPr="009F029C">
              <w:rPr>
                <w:b/>
                <w:sz w:val="20"/>
              </w:rPr>
              <w:t xml:space="preserve">minor  </w:t>
            </w:r>
            <w:r w:rsidRPr="009F029C">
              <w:rPr>
                <w:rFonts w:ascii="MS Mincho" w:eastAsia="MS Mincho" w:hAnsi="MS Mincho" w:cs="MS Mincho"/>
                <w:b/>
                <w:sz w:val="20"/>
              </w:rPr>
              <w:t>|</w:t>
            </w:r>
            <w:proofErr w:type="gramEnd"/>
          </w:p>
        </w:tc>
        <w:tc>
          <w:tcPr>
            <w:tcW w:w="3924" w:type="dxa"/>
            <w:noWrap/>
          </w:tcPr>
          <w:p w14:paraId="442E5788" w14:textId="24EFBFFB" w:rsidR="00F64260" w:rsidRPr="009F029C" w:rsidRDefault="00F64260" w:rsidP="001A51ED">
            <w:pPr>
              <w:spacing w:line="240" w:lineRule="auto"/>
              <w:rPr>
                <w:b/>
                <w:sz w:val="20"/>
              </w:rPr>
            </w:pPr>
            <w:r w:rsidRPr="009F029C">
              <w:rPr>
                <w:b/>
                <w:sz w:val="20"/>
              </w:rPr>
              <w:t>Required for major/</w:t>
            </w:r>
            <w:proofErr w:type="gramStart"/>
            <w:r w:rsidRPr="009F029C">
              <w:rPr>
                <w:b/>
                <w:sz w:val="20"/>
              </w:rPr>
              <w:t xml:space="preserve">minor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CA4D3F5"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6C6CA870"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63CA6D6B" w14:textId="7A641453" w:rsidR="00984B36" w:rsidRDefault="00F3256C" w:rsidP="001A51ED">
            <w:pPr>
              <w:rPr>
                <w:rFonts w:ascii="MS Mincho" w:eastAsia="MS Mincho" w:hAnsi="MS Mincho" w:cs="MS Mincho"/>
                <w:b/>
                <w:sz w:val="20"/>
              </w:rPr>
            </w:pPr>
            <w:bookmarkStart w:id="23" w:name="ge"/>
            <w:bookmarkEnd w:id="23"/>
            <w:r w:rsidRPr="009F029C">
              <w:rPr>
                <w:rFonts w:ascii="MS Mincho" w:eastAsia="MS Mincho" w:hAnsi="MS Mincho" w:cs="MS Mincho"/>
                <w:b/>
                <w:sz w:val="20"/>
              </w:rPr>
              <w:t>|</w:t>
            </w:r>
            <w:r>
              <w:rPr>
                <w:b/>
              </w:rPr>
              <w:t xml:space="preserve"> </w:t>
            </w:r>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67D48F44" w:rsidR="00F64260" w:rsidRPr="009F029C" w:rsidRDefault="00984B36" w:rsidP="001A51ED">
            <w:pPr>
              <w:rPr>
                <w:b/>
                <w:sz w:val="20"/>
              </w:rPr>
            </w:pPr>
            <w:r>
              <w:rPr>
                <w:b/>
              </w:rPr>
              <w:t>category:</w:t>
            </w:r>
          </w:p>
        </w:tc>
        <w:tc>
          <w:tcPr>
            <w:tcW w:w="3924" w:type="dxa"/>
            <w:noWrap/>
          </w:tcPr>
          <w:p w14:paraId="45B135E3" w14:textId="1F86CD4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FD1E902"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117E92C9"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E776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5E776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7" w:name="outcomes"/>
            <w:bookmarkEnd w:id="27"/>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6B2C7A47" w14:textId="6D5E5C2C" w:rsidR="00115A68" w:rsidRDefault="00115A68" w:rsidP="00115A68">
            <w:pPr>
              <w:pStyle w:val="ListParagraph"/>
              <w:numPr>
                <w:ilvl w:val="1"/>
                <w:numId w:val="8"/>
              </w:numPr>
              <w:spacing w:line="240" w:lineRule="auto"/>
            </w:pPr>
            <w:r>
              <w:t>Subtopic 1b   etc.</w:t>
            </w:r>
          </w:p>
        </w:tc>
      </w:tr>
    </w:tbl>
    <w:p w14:paraId="6819D7F8" w14:textId="66EC42FB"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CA336B">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CA336B">
        <w:trPr>
          <w:cantSplit/>
          <w:trHeight w:val="489"/>
        </w:trPr>
        <w:tc>
          <w:tcPr>
            <w:tcW w:w="3168" w:type="dxa"/>
            <w:vAlign w:val="center"/>
          </w:tcPr>
          <w:p w14:paraId="2B0991B7" w14:textId="6FACBCE0" w:rsidR="00115A68" w:rsidRDefault="00CA336B" w:rsidP="0015571B">
            <w:pPr>
              <w:spacing w:line="240" w:lineRule="auto"/>
            </w:pPr>
            <w:r>
              <w:t xml:space="preserve">Alison </w:t>
            </w:r>
            <w:proofErr w:type="spellStart"/>
            <w:r>
              <w:t>Shonkwiler</w:t>
            </w:r>
            <w:proofErr w:type="spellEnd"/>
          </w:p>
        </w:tc>
        <w:tc>
          <w:tcPr>
            <w:tcW w:w="3254" w:type="dxa"/>
            <w:vAlign w:val="center"/>
          </w:tcPr>
          <w:p w14:paraId="2927DBCB" w14:textId="4553D768" w:rsidR="00115A68" w:rsidRDefault="00115A68" w:rsidP="0015571B">
            <w:pPr>
              <w:spacing w:line="240" w:lineRule="auto"/>
            </w:pPr>
            <w:r>
              <w:t xml:space="preserve">Chair of </w:t>
            </w:r>
            <w:r w:rsidR="00CA336B">
              <w:t>English</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CA336B">
        <w:trPr>
          <w:cantSplit/>
          <w:trHeight w:val="489"/>
        </w:trPr>
        <w:tc>
          <w:tcPr>
            <w:tcW w:w="3168" w:type="dxa"/>
            <w:vAlign w:val="center"/>
          </w:tcPr>
          <w:p w14:paraId="6ED2A8A6" w14:textId="1BDB3844" w:rsidR="00115A68" w:rsidRDefault="00CA336B" w:rsidP="0015571B">
            <w:pPr>
              <w:spacing w:line="240" w:lineRule="auto"/>
            </w:pPr>
            <w:r>
              <w:t>Earl Simson</w:t>
            </w:r>
          </w:p>
        </w:tc>
        <w:tc>
          <w:tcPr>
            <w:tcW w:w="3254" w:type="dxa"/>
            <w:vAlign w:val="center"/>
          </w:tcPr>
          <w:p w14:paraId="229CC930" w14:textId="415C41BD" w:rsidR="00115A68" w:rsidRDefault="00115A68" w:rsidP="0015571B">
            <w:pPr>
              <w:spacing w:line="240" w:lineRule="auto"/>
            </w:pPr>
            <w:r>
              <w:t xml:space="preserve">Dean of </w:t>
            </w:r>
            <w:r w:rsidR="00CA336B">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5E776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3877" w14:textId="77777777" w:rsidR="005E776A" w:rsidRDefault="005E776A" w:rsidP="00FA78CA">
      <w:pPr>
        <w:spacing w:line="240" w:lineRule="auto"/>
      </w:pPr>
      <w:r>
        <w:separator/>
      </w:r>
    </w:p>
  </w:endnote>
  <w:endnote w:type="continuationSeparator" w:id="0">
    <w:p w14:paraId="2C5D73A1" w14:textId="77777777" w:rsidR="005E776A" w:rsidRDefault="005E776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5542" w14:textId="77777777" w:rsidR="005E776A" w:rsidRDefault="005E776A" w:rsidP="00FA78CA">
      <w:pPr>
        <w:spacing w:line="240" w:lineRule="auto"/>
      </w:pPr>
      <w:r>
        <w:separator/>
      </w:r>
    </w:p>
  </w:footnote>
  <w:footnote w:type="continuationSeparator" w:id="0">
    <w:p w14:paraId="6D0FC1C4" w14:textId="77777777" w:rsidR="005E776A" w:rsidRDefault="005E776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777777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46774"/>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01CA"/>
    <w:rsid w:val="003D7372"/>
    <w:rsid w:val="003F099C"/>
    <w:rsid w:val="003F4E82"/>
    <w:rsid w:val="00402602"/>
    <w:rsid w:val="004105B6"/>
    <w:rsid w:val="004254A0"/>
    <w:rsid w:val="004313E6"/>
    <w:rsid w:val="004403BD"/>
    <w:rsid w:val="00442EEA"/>
    <w:rsid w:val="004779B4"/>
    <w:rsid w:val="00480FAA"/>
    <w:rsid w:val="004E57C5"/>
    <w:rsid w:val="00517DB2"/>
    <w:rsid w:val="005473BC"/>
    <w:rsid w:val="005873E3"/>
    <w:rsid w:val="005B1049"/>
    <w:rsid w:val="005C23BD"/>
    <w:rsid w:val="005C3F83"/>
    <w:rsid w:val="005D389E"/>
    <w:rsid w:val="005E776A"/>
    <w:rsid w:val="005F2A05"/>
    <w:rsid w:val="00670869"/>
    <w:rsid w:val="006761E1"/>
    <w:rsid w:val="006970B0"/>
    <w:rsid w:val="006A1247"/>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336B"/>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5B95"/>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styleId="NormalWeb">
    <w:name w:val="Normal (Web)"/>
    <w:basedOn w:val="Normal"/>
    <w:uiPriority w:val="99"/>
    <w:unhideWhenUsed/>
    <w:rsid w:val="00CA336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94081">
      <w:bodyDiv w:val="1"/>
      <w:marLeft w:val="0"/>
      <w:marRight w:val="0"/>
      <w:marTop w:val="0"/>
      <w:marBottom w:val="0"/>
      <w:divBdr>
        <w:top w:val="none" w:sz="0" w:space="0" w:color="auto"/>
        <w:left w:val="none" w:sz="0" w:space="0" w:color="auto"/>
        <w:bottom w:val="none" w:sz="0" w:space="0" w:color="auto"/>
        <w:right w:val="none" w:sz="0" w:space="0" w:color="auto"/>
      </w:divBdr>
      <w:divsChild>
        <w:div w:id="730420173">
          <w:marLeft w:val="0"/>
          <w:marRight w:val="0"/>
          <w:marTop w:val="0"/>
          <w:marBottom w:val="0"/>
          <w:divBdr>
            <w:top w:val="none" w:sz="0" w:space="0" w:color="auto"/>
            <w:left w:val="none" w:sz="0" w:space="0" w:color="auto"/>
            <w:bottom w:val="none" w:sz="0" w:space="0" w:color="auto"/>
            <w:right w:val="none" w:sz="0" w:space="0" w:color="auto"/>
          </w:divBdr>
          <w:divsChild>
            <w:div w:id="1386175626">
              <w:marLeft w:val="0"/>
              <w:marRight w:val="0"/>
              <w:marTop w:val="0"/>
              <w:marBottom w:val="0"/>
              <w:divBdr>
                <w:top w:val="none" w:sz="0" w:space="0" w:color="auto"/>
                <w:left w:val="none" w:sz="0" w:space="0" w:color="auto"/>
                <w:bottom w:val="none" w:sz="0" w:space="0" w:color="auto"/>
                <w:right w:val="none" w:sz="0" w:space="0" w:color="auto"/>
              </w:divBdr>
              <w:divsChild>
                <w:div w:id="18421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43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67Z3ZXSPZZWZ-949-1082</_dlc_DocId>
    <_dlc_DocIdUrl xmlns="67887a43-7e4d-4c1c-91d7-15e417b1b8ab">
      <Url>https://w3.ric.edu/curriculum_committee/_layouts/15/DocIdRedir.aspx?ID=67Z3ZXSPZZWZ-949-1082</Url>
      <Description>67Z3ZXSPZZWZ-949-1082</Description>
    </_dlc_DocIdUrl>
  </documentManagement>
</p:properties>
</file>

<file path=customXml/itemProps1.xml><?xml version="1.0" encoding="utf-8"?>
<ds:datastoreItem xmlns:ds="http://schemas.openxmlformats.org/officeDocument/2006/customXml" ds:itemID="{EA41CFFF-3E90-4A75-AA73-6CCC1BACDC2E}"/>
</file>

<file path=customXml/itemProps2.xml><?xml version="1.0" encoding="utf-8"?>
<ds:datastoreItem xmlns:ds="http://schemas.openxmlformats.org/officeDocument/2006/customXml" ds:itemID="{62BF74ED-1C07-4966-B84C-FFC38E1ACAB8}"/>
</file>

<file path=customXml/itemProps3.xml><?xml version="1.0" encoding="utf-8"?>
<ds:datastoreItem xmlns:ds="http://schemas.openxmlformats.org/officeDocument/2006/customXml" ds:itemID="{92B184DA-627E-4742-9FE1-40C18D4F821E}"/>
</file>

<file path=customXml/itemProps4.xml><?xml version="1.0" encoding="utf-8"?>
<ds:datastoreItem xmlns:ds="http://schemas.openxmlformats.org/officeDocument/2006/customXml" ds:itemID="{7D13FA8D-95EC-47AC-8C7C-D7279F39C129}"/>
</file>

<file path=docProps/app.xml><?xml version="1.0" encoding="utf-8"?>
<Properties xmlns="http://schemas.openxmlformats.org/officeDocument/2006/extended-properties" xmlns:vt="http://schemas.openxmlformats.org/officeDocument/2006/docPropsVTypes">
  <Template>Normal.dotm</Template>
  <TotalTime>7</TotalTime>
  <Pages>3</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2019-10-25T15:03:00Z</dcterms:created>
  <dcterms:modified xsi:type="dcterms:W3CDTF">2019-10-25T15:46:00Z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f456e8a8-e3de-4976-abca-885ba79fbfa4</vt:lpwstr>
  </property>
</Properties>
</file>