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4FC6C8F9" w:rsidR="00F64260" w:rsidRDefault="009B4B02" w:rsidP="05DADE05">
      <w:pPr>
        <w:pStyle w:val="Heading2"/>
        <w:numPr>
          <w:ilvl w:val="0"/>
          <w:numId w:val="6"/>
        </w:numPr>
        <w:jc w:val="left"/>
        <w:rPr>
          <w:rStyle w:val="Hyperlink"/>
          <w:sz w:val="18"/>
          <w:szCs w:val="18"/>
        </w:rPr>
      </w:pPr>
      <w:r>
        <w:t xml:space="preserve">Cover page </w:t>
      </w:r>
      <w:r>
        <w:tab/>
      </w:r>
      <w:r w:rsidR="00517DB2" w:rsidRPr="05DADE05">
        <w:rPr>
          <w:color w:val="auto"/>
          <w:spacing w:val="20"/>
          <w:sz w:val="18"/>
          <w:szCs w:val="18"/>
        </w:rPr>
        <w:t>scr</w:t>
      </w:r>
      <w:r w:rsidR="00F64260" w:rsidRPr="05DADE05">
        <w:rPr>
          <w:color w:val="auto"/>
          <w:spacing w:val="20"/>
          <w:sz w:val="18"/>
          <w:szCs w:val="18"/>
        </w:rPr>
        <w:t>oll over blue text to see further</w:t>
      </w:r>
      <w:r w:rsidRPr="05DADE05">
        <w:rPr>
          <w:color w:val="auto"/>
          <w:spacing w:val="20"/>
          <w:sz w:val="18"/>
          <w:szCs w:val="18"/>
        </w:rPr>
        <w:t xml:space="preserve"> important</w:t>
      </w:r>
      <w:r w:rsidR="00F64260" w:rsidRPr="05DADE05">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5DADE05">
          <w:rPr>
            <w:rStyle w:val="Hyperlink"/>
            <w:spacing w:val="20"/>
            <w:sz w:val="18"/>
            <w:szCs w:val="18"/>
          </w:rPr>
          <w:t>instructions</w:t>
        </w:r>
      </w:hyperlink>
      <w:r w:rsidRPr="05DADE05">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880"/>
        <w:gridCol w:w="145"/>
        <w:gridCol w:w="2699"/>
        <w:gridCol w:w="289"/>
      </w:tblGrid>
      <w:tr w:rsidR="00345149" w:rsidRPr="006E3AF2" w14:paraId="11EC5F63" w14:textId="77777777" w:rsidTr="54D03C55">
        <w:trPr>
          <w:cantSplit/>
        </w:trPr>
        <w:tc>
          <w:tcPr>
            <w:tcW w:w="2447" w:type="dxa"/>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8280" w:type="dxa"/>
            <w:gridSpan w:val="4"/>
          </w:tcPr>
          <w:p w14:paraId="3DD8DB7A" w14:textId="43ECDDCE" w:rsidR="00F64260" w:rsidRPr="00A83A6C" w:rsidRDefault="0F7C2E47" w:rsidP="0F7C2E47">
            <w:pPr>
              <w:pStyle w:val="Heading5"/>
              <w:rPr>
                <w:b/>
                <w:bCs/>
              </w:rPr>
            </w:pPr>
            <w:bookmarkStart w:id="0" w:name="Proposal"/>
            <w:bookmarkEnd w:id="0"/>
            <w:r w:rsidRPr="0F7C2E47">
              <w:rPr>
                <w:b/>
                <w:bCs/>
              </w:rPr>
              <w:t>HPE 409 – Adapted Physical education</w:t>
            </w:r>
          </w:p>
        </w:tc>
        <w:tc>
          <w:tcPr>
            <w:tcW w:w="289" w:type="dxa"/>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4D03C55">
        <w:trPr>
          <w:cantSplit/>
        </w:trPr>
        <w:tc>
          <w:tcPr>
            <w:tcW w:w="2447" w:type="dxa"/>
            <w:vAlign w:val="center"/>
          </w:tcPr>
          <w:p w14:paraId="34141DE6" w14:textId="73EB4A74" w:rsidR="00F64260" w:rsidRPr="00B649C4" w:rsidRDefault="0091110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8280" w:type="dxa"/>
            <w:gridSpan w:val="4"/>
          </w:tcPr>
          <w:p w14:paraId="02CBDE98" w14:textId="77777777" w:rsidR="00F64260" w:rsidRPr="00A83A6C" w:rsidRDefault="00F64260" w:rsidP="00B862BF">
            <w:pPr>
              <w:pStyle w:val="Heading5"/>
              <w:rPr>
                <w:b/>
              </w:rPr>
            </w:pPr>
            <w:bookmarkStart w:id="3" w:name="Ifapplicable"/>
            <w:bookmarkEnd w:id="3"/>
          </w:p>
        </w:tc>
        <w:tc>
          <w:tcPr>
            <w:tcW w:w="289" w:type="dxa"/>
            <w:vMerge/>
          </w:tcPr>
          <w:p w14:paraId="62271F1F" w14:textId="77777777" w:rsidR="00F64260" w:rsidRPr="008E0FCD" w:rsidRDefault="00F64260" w:rsidP="008B1F84">
            <w:pPr>
              <w:rPr>
                <w:b/>
              </w:rPr>
            </w:pPr>
          </w:p>
        </w:tc>
      </w:tr>
      <w:tr w:rsidR="00345149" w:rsidRPr="006E3AF2" w14:paraId="3ADE5CAB" w14:textId="77777777" w:rsidTr="54D03C55">
        <w:trPr>
          <w:cantSplit/>
        </w:trPr>
        <w:tc>
          <w:tcPr>
            <w:tcW w:w="2447" w:type="dxa"/>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8280" w:type="dxa"/>
            <w:gridSpan w:val="4"/>
          </w:tcPr>
          <w:p w14:paraId="5B61D31D" w14:textId="0156604D" w:rsidR="00F64260" w:rsidRPr="005F2A05" w:rsidRDefault="0F7C2E47" w:rsidP="0F7C2E47">
            <w:pPr>
              <w:spacing w:line="240" w:lineRule="auto"/>
              <w:rPr>
                <w:b/>
                <w:bCs/>
              </w:rPr>
            </w:pPr>
            <w:bookmarkStart w:id="4" w:name="type"/>
            <w:r w:rsidRPr="0F7C2E47">
              <w:rPr>
                <w:b/>
                <w:bCs/>
              </w:rPr>
              <w:t xml:space="preserve">Course:  revision  </w:t>
            </w:r>
            <w:bookmarkEnd w:id="4"/>
            <w:r w:rsidR="00620D1B">
              <w:fldChar w:fldCharType="begin"/>
            </w:r>
            <w:r w:rsidR="00620D1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620D1B">
              <w:fldChar w:fldCharType="end"/>
            </w:r>
            <w:bookmarkStart w:id="5" w:name="deletion"/>
            <w:bookmarkEnd w:id="5"/>
          </w:p>
          <w:p w14:paraId="52ECEFB4" w14:textId="4CBD4769" w:rsidR="00F64260" w:rsidRPr="005F2A05" w:rsidRDefault="00911103" w:rsidP="0F7C2E47">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bookmarkStart w:id="6" w:name="revision"/>
            <w:bookmarkEnd w:id="6"/>
            <w:r w:rsidR="00620D1B">
              <w:fldChar w:fldCharType="begin"/>
            </w:r>
            <w:r w:rsidR="00620D1B">
              <w:instrText xml:space="preserve"> HYPERLINK \l "suspension" \o "If suspending a course, including an estimate as to how long you expect the suspension to last" </w:instrText>
            </w:r>
            <w:r w:rsidR="00620D1B">
              <w:fldChar w:fldCharType="end"/>
            </w:r>
          </w:p>
        </w:tc>
        <w:tc>
          <w:tcPr>
            <w:tcW w:w="289" w:type="dxa"/>
            <w:vMerge/>
          </w:tcPr>
          <w:p w14:paraId="66B4A301" w14:textId="77777777" w:rsidR="00F64260" w:rsidRPr="005F2A05" w:rsidRDefault="00F64260" w:rsidP="008B1F84">
            <w:pPr>
              <w:rPr>
                <w:b/>
              </w:rPr>
            </w:pPr>
          </w:p>
        </w:tc>
      </w:tr>
      <w:tr w:rsidR="00F64260" w:rsidRPr="006E3AF2" w14:paraId="1CF85742" w14:textId="77777777" w:rsidTr="54D03C55">
        <w:trPr>
          <w:cantSplit/>
        </w:trPr>
        <w:tc>
          <w:tcPr>
            <w:tcW w:w="2447" w:type="dxa"/>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2556" w:type="dxa"/>
          </w:tcPr>
          <w:p w14:paraId="32621A09" w14:textId="3799A761" w:rsidR="00F64260" w:rsidRPr="00B605CE" w:rsidRDefault="0F7C2E47" w:rsidP="0F7C2E47">
            <w:pPr>
              <w:rPr>
                <w:b/>
                <w:bCs/>
              </w:rPr>
            </w:pPr>
            <w:bookmarkStart w:id="7" w:name="Originator"/>
            <w:bookmarkEnd w:id="7"/>
            <w:r w:rsidRPr="0F7C2E47">
              <w:rPr>
                <w:b/>
                <w:bCs/>
              </w:rPr>
              <w:t>Karen Castagno</w:t>
            </w:r>
          </w:p>
        </w:tc>
        <w:tc>
          <w:tcPr>
            <w:tcW w:w="2880" w:type="dxa"/>
          </w:tcPr>
          <w:p w14:paraId="788D9512" w14:textId="17536236" w:rsidR="00F64260" w:rsidRPr="00946B20" w:rsidRDefault="00911103" w:rsidP="0F7C2E47">
            <w:hyperlink w:anchor="home_dept" w:tooltip="Which department, program, academic unit, office, and/or school is primarily responsible for the curriculum change?" w:history="1">
              <w:r w:rsidR="0F7C2E47" w:rsidRPr="0F7C2E47">
                <w:rPr>
                  <w:rStyle w:val="Hyperlink"/>
                </w:rPr>
                <w:t>Health &amp; Physical Education</w:t>
              </w:r>
            </w:hyperlink>
          </w:p>
        </w:tc>
        <w:tc>
          <w:tcPr>
            <w:tcW w:w="3133" w:type="dxa"/>
            <w:gridSpan w:val="3"/>
          </w:tcPr>
          <w:p w14:paraId="6A9CD084" w14:textId="77777777" w:rsidR="00F64260" w:rsidRPr="00B605CE" w:rsidRDefault="00F64260" w:rsidP="00B862BF">
            <w:pPr>
              <w:rPr>
                <w:b/>
              </w:rPr>
            </w:pPr>
            <w:bookmarkStart w:id="8" w:name="home_dept"/>
            <w:bookmarkEnd w:id="8"/>
          </w:p>
        </w:tc>
      </w:tr>
      <w:tr w:rsidR="00F64260" w:rsidRPr="006E3AF2" w14:paraId="2EB2F82D" w14:textId="77777777" w:rsidTr="54D03C55">
        <w:tc>
          <w:tcPr>
            <w:tcW w:w="2447" w:type="dxa"/>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8569" w:type="dxa"/>
            <w:gridSpan w:val="5"/>
          </w:tcPr>
          <w:p w14:paraId="41EFFC68" w14:textId="6CC92B66" w:rsidR="00F64260" w:rsidRPr="00FA6998" w:rsidRDefault="54D03C55" w:rsidP="54D03C55">
            <w:pPr>
              <w:spacing w:line="240" w:lineRule="auto"/>
              <w:rPr>
                <w:b/>
                <w:bCs/>
              </w:rPr>
            </w:pPr>
            <w:r w:rsidRPr="54D03C55">
              <w:rPr>
                <w:b/>
                <w:bCs/>
              </w:rPr>
              <w:t xml:space="preserve">HPE 409 is a required course in the Physical Education Major.  Due to the changes in the FSEHD redesign, the Special Education course that had been used as a prerequisite has changed. Therefore, a prerequisite statement change is needed. </w:t>
            </w:r>
          </w:p>
        </w:tc>
      </w:tr>
      <w:tr w:rsidR="00517DB2" w:rsidRPr="006E3AF2" w14:paraId="376213DA" w14:textId="77777777" w:rsidTr="54D03C55">
        <w:tc>
          <w:tcPr>
            <w:tcW w:w="2447" w:type="dxa"/>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8569" w:type="dxa"/>
            <w:gridSpan w:val="5"/>
          </w:tcPr>
          <w:p w14:paraId="0194753B" w14:textId="507767EC" w:rsidR="00517DB2" w:rsidRPr="00B649C4" w:rsidRDefault="00CE190B" w:rsidP="0F7C2E47">
            <w:pPr>
              <w:rPr>
                <w:b/>
                <w:bCs/>
              </w:rPr>
            </w:pPr>
            <w:bookmarkStart w:id="9" w:name="student_impact"/>
            <w:bookmarkEnd w:id="9"/>
            <w:r>
              <w:rPr>
                <w:b/>
                <w:bCs/>
              </w:rPr>
              <w:t>Ensure they take the right prerequisite.</w:t>
            </w:r>
            <w:r w:rsidR="0F7C2E47" w:rsidRPr="0F7C2E47">
              <w:rPr>
                <w:b/>
                <w:bCs/>
              </w:rPr>
              <w:t xml:space="preserve"> </w:t>
            </w:r>
          </w:p>
        </w:tc>
      </w:tr>
      <w:tr w:rsidR="00517DB2" w:rsidRPr="006E3AF2" w14:paraId="7D9FD828" w14:textId="77777777" w:rsidTr="54D03C55">
        <w:tc>
          <w:tcPr>
            <w:tcW w:w="2447" w:type="dxa"/>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8569" w:type="dxa"/>
            <w:gridSpan w:val="5"/>
          </w:tcPr>
          <w:p w14:paraId="45C3A50E" w14:textId="0CA9F78B" w:rsidR="00517DB2" w:rsidRPr="00B649C4" w:rsidRDefault="0F7C2E47" w:rsidP="0F7C2E47">
            <w:pPr>
              <w:rPr>
                <w:b/>
                <w:bCs/>
              </w:rPr>
            </w:pPr>
            <w:bookmarkStart w:id="10" w:name="prog_impact"/>
            <w:bookmarkEnd w:id="10"/>
            <w:r w:rsidRPr="0F7C2E47">
              <w:rPr>
                <w:b/>
                <w:bCs/>
              </w:rPr>
              <w:t>None</w:t>
            </w:r>
          </w:p>
        </w:tc>
      </w:tr>
      <w:tr w:rsidR="008D52B7" w:rsidRPr="00C25F9D" w14:paraId="45F9633F" w14:textId="77777777" w:rsidTr="54D03C55">
        <w:trPr>
          <w:cantSplit/>
        </w:trPr>
        <w:tc>
          <w:tcPr>
            <w:tcW w:w="2447" w:type="dxa"/>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2556" w:type="dxa"/>
          </w:tcPr>
          <w:p w14:paraId="1DE6FEAF" w14:textId="77777777" w:rsidR="008D52B7" w:rsidRDefault="0091110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6013" w:type="dxa"/>
            <w:gridSpan w:val="4"/>
          </w:tcPr>
          <w:p w14:paraId="41C537C5" w14:textId="7EA8D4D5" w:rsidR="008D52B7" w:rsidRPr="00C25F9D" w:rsidRDefault="0F7C2E47" w:rsidP="0F7C2E47">
            <w:pPr>
              <w:rPr>
                <w:b/>
                <w:bCs/>
              </w:rPr>
            </w:pPr>
            <w:r w:rsidRPr="0F7C2E47">
              <w:rPr>
                <w:b/>
                <w:bCs/>
              </w:rPr>
              <w:t>None</w:t>
            </w:r>
          </w:p>
        </w:tc>
      </w:tr>
      <w:tr w:rsidR="008D52B7" w:rsidRPr="00C25F9D" w14:paraId="636A3B25" w14:textId="77777777" w:rsidTr="54D03C55">
        <w:trPr>
          <w:cantSplit/>
        </w:trPr>
        <w:tc>
          <w:tcPr>
            <w:tcW w:w="2447" w:type="dxa"/>
            <w:vMerge/>
            <w:vAlign w:val="center"/>
          </w:tcPr>
          <w:p w14:paraId="0B614A32" w14:textId="77777777" w:rsidR="008D52B7" w:rsidRPr="00B649C4" w:rsidRDefault="008D52B7" w:rsidP="008D52B7"/>
        </w:tc>
        <w:tc>
          <w:tcPr>
            <w:tcW w:w="2556" w:type="dxa"/>
          </w:tcPr>
          <w:p w14:paraId="2E681FA1" w14:textId="77777777" w:rsidR="008D52B7" w:rsidRPr="000E2CBA" w:rsidRDefault="0091110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6013" w:type="dxa"/>
            <w:gridSpan w:val="4"/>
          </w:tcPr>
          <w:p w14:paraId="6B92378E" w14:textId="4E70B346" w:rsidR="008D52B7" w:rsidRPr="00C25F9D" w:rsidRDefault="0F7C2E47" w:rsidP="0F7C2E47">
            <w:pPr>
              <w:rPr>
                <w:b/>
                <w:bCs/>
              </w:rPr>
            </w:pPr>
            <w:r w:rsidRPr="0F7C2E47">
              <w:rPr>
                <w:b/>
                <w:bCs/>
              </w:rPr>
              <w:t>None</w:t>
            </w:r>
          </w:p>
        </w:tc>
      </w:tr>
      <w:tr w:rsidR="008D52B7" w:rsidRPr="00C25F9D" w14:paraId="186A9C2E" w14:textId="77777777" w:rsidTr="54D03C55">
        <w:trPr>
          <w:cantSplit/>
        </w:trPr>
        <w:tc>
          <w:tcPr>
            <w:tcW w:w="2447" w:type="dxa"/>
            <w:vMerge/>
            <w:vAlign w:val="center"/>
          </w:tcPr>
          <w:p w14:paraId="7D6BDE51" w14:textId="77777777" w:rsidR="008D52B7" w:rsidRPr="00B649C4" w:rsidRDefault="008D52B7" w:rsidP="008D52B7"/>
        </w:tc>
        <w:tc>
          <w:tcPr>
            <w:tcW w:w="2556" w:type="dxa"/>
          </w:tcPr>
          <w:p w14:paraId="2E3CCE80" w14:textId="77777777" w:rsidR="008D52B7" w:rsidRPr="00704CFF" w:rsidRDefault="0091110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6013" w:type="dxa"/>
            <w:gridSpan w:val="4"/>
          </w:tcPr>
          <w:p w14:paraId="6DCACEC0" w14:textId="4987E496" w:rsidR="008D52B7" w:rsidRPr="00C25F9D" w:rsidRDefault="0F7C2E47" w:rsidP="0F7C2E47">
            <w:pPr>
              <w:rPr>
                <w:b/>
                <w:bCs/>
              </w:rPr>
            </w:pPr>
            <w:r w:rsidRPr="0F7C2E47">
              <w:rPr>
                <w:b/>
                <w:bCs/>
              </w:rPr>
              <w:t>None</w:t>
            </w:r>
          </w:p>
        </w:tc>
      </w:tr>
      <w:tr w:rsidR="008D52B7" w:rsidRPr="00C25F9D" w14:paraId="6717F369" w14:textId="77777777" w:rsidTr="54D03C55">
        <w:trPr>
          <w:cantSplit/>
        </w:trPr>
        <w:tc>
          <w:tcPr>
            <w:tcW w:w="2447" w:type="dxa"/>
            <w:vMerge/>
            <w:vAlign w:val="center"/>
          </w:tcPr>
          <w:p w14:paraId="4CF65113" w14:textId="77777777" w:rsidR="008D52B7" w:rsidRPr="00B649C4" w:rsidRDefault="008D52B7" w:rsidP="008D52B7"/>
        </w:tc>
        <w:tc>
          <w:tcPr>
            <w:tcW w:w="2556" w:type="dxa"/>
          </w:tcPr>
          <w:p w14:paraId="209120DE" w14:textId="77777777" w:rsidR="008D52B7" w:rsidRPr="000E2CBA" w:rsidRDefault="0091110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6013" w:type="dxa"/>
            <w:gridSpan w:val="4"/>
          </w:tcPr>
          <w:p w14:paraId="7AA6ABC1" w14:textId="513AF1B7" w:rsidR="008D52B7" w:rsidRPr="00C25F9D" w:rsidRDefault="0F7C2E47" w:rsidP="0F7C2E47">
            <w:pPr>
              <w:rPr>
                <w:b/>
                <w:bCs/>
              </w:rPr>
            </w:pPr>
            <w:r w:rsidRPr="0F7C2E47">
              <w:rPr>
                <w:b/>
                <w:bCs/>
              </w:rPr>
              <w:t>None</w:t>
            </w:r>
          </w:p>
        </w:tc>
      </w:tr>
      <w:tr w:rsidR="00F64260" w:rsidRPr="006E3AF2" w14:paraId="6C89A581" w14:textId="77777777" w:rsidTr="54D03C55">
        <w:trPr>
          <w:cantSplit/>
        </w:trPr>
        <w:tc>
          <w:tcPr>
            <w:tcW w:w="2447" w:type="dxa"/>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2556" w:type="dxa"/>
          </w:tcPr>
          <w:p w14:paraId="2A1A78BF" w14:textId="6D93C0F8" w:rsidR="00F64260" w:rsidRPr="00B605CE" w:rsidRDefault="0F7C2E47" w:rsidP="0F7C2E47">
            <w:pPr>
              <w:rPr>
                <w:b/>
                <w:bCs/>
              </w:rPr>
            </w:pPr>
            <w:bookmarkStart w:id="11" w:name="date_submitted"/>
            <w:bookmarkEnd w:id="11"/>
            <w:r w:rsidRPr="0F7C2E47">
              <w:rPr>
                <w:b/>
                <w:bCs/>
              </w:rPr>
              <w:t>Fall 2019</w:t>
            </w:r>
          </w:p>
        </w:tc>
        <w:tc>
          <w:tcPr>
            <w:tcW w:w="3025" w:type="dxa"/>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2988" w:type="dxa"/>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0FDAA3ED"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4D03C5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54D03C5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54D03C55">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4D03C55">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54D03C55">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54D03C5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bookmarkStart w:id="16" w:name="prereqs"/>
        <w:bookmarkEnd w:id="16"/>
        <w:tc>
          <w:tcPr>
            <w:tcW w:w="3924" w:type="dxa"/>
            <w:noWrap/>
          </w:tcPr>
          <w:p w14:paraId="1DA13CE0" w14:textId="4CA9B020" w:rsidR="00F64260" w:rsidRPr="009F029C" w:rsidRDefault="00620D1B" w:rsidP="54D03C55">
            <w:pPr>
              <w:spacing w:line="240" w:lineRule="auto"/>
              <w:rPr>
                <w:rFonts w:asciiTheme="minorHAnsi" w:eastAsiaTheme="minorEastAsia" w:hAnsiTheme="minorHAnsi" w:cstheme="minorBidi"/>
                <w:b/>
                <w:bCs/>
              </w:rPr>
            </w:pPr>
            <w:r w:rsidRPr="54D03C55">
              <w:fldChar w:fldCharType="begin"/>
            </w:r>
            <w:r>
              <w:instrText xml:space="preserve"> HYPERLINK "http://ric.smartcatalogiq.com/2018-2019/Catalog/Courses/SPED-Special-Education/400/SPED-433" \h </w:instrText>
            </w:r>
            <w:r w:rsidRPr="54D03C55">
              <w:fldChar w:fldCharType="separate"/>
            </w:r>
            <w:r w:rsidR="05DADE05" w:rsidRPr="54D03C55">
              <w:rPr>
                <w:rStyle w:val="Hyperlink"/>
                <w:rFonts w:asciiTheme="minorHAnsi" w:eastAsiaTheme="minorEastAsia" w:hAnsiTheme="minorHAnsi" w:cstheme="minorBidi"/>
                <w:b/>
                <w:bCs/>
                <w:color w:val="auto"/>
                <w:u w:val="none"/>
              </w:rPr>
              <w:t>SPED 433</w:t>
            </w:r>
            <w:r w:rsidRPr="54D03C55">
              <w:fldChar w:fldCharType="end"/>
            </w:r>
            <w:r w:rsidR="05DADE05" w:rsidRPr="54D03C55">
              <w:rPr>
                <w:rFonts w:asciiTheme="minorHAnsi" w:eastAsiaTheme="minorEastAsia" w:hAnsiTheme="minorHAnsi" w:cstheme="minorBidi"/>
                <w:b/>
                <w:bCs/>
              </w:rPr>
              <w:t xml:space="preserve"> and concurrent enrollment in or completion of </w:t>
            </w:r>
            <w:hyperlink r:id="rId11">
              <w:r w:rsidR="05DADE05" w:rsidRPr="54D03C55">
                <w:rPr>
                  <w:rStyle w:val="Hyperlink"/>
                  <w:rFonts w:asciiTheme="minorHAnsi" w:eastAsiaTheme="minorEastAsia" w:hAnsiTheme="minorHAnsi" w:cstheme="minorBidi"/>
                  <w:b/>
                  <w:bCs/>
                  <w:color w:val="auto"/>
                  <w:u w:val="none"/>
                </w:rPr>
                <w:t>HPE 413</w:t>
              </w:r>
            </w:hyperlink>
            <w:r w:rsidR="05DADE05" w:rsidRPr="54D03C55">
              <w:rPr>
                <w:rFonts w:asciiTheme="minorHAnsi" w:eastAsiaTheme="minorEastAsia" w:hAnsiTheme="minorHAnsi" w:cstheme="minorBidi"/>
                <w:b/>
                <w:bCs/>
              </w:rPr>
              <w:t xml:space="preserve"> or </w:t>
            </w:r>
            <w:hyperlink r:id="rId12">
              <w:r w:rsidR="05DADE05" w:rsidRPr="54D03C55">
                <w:rPr>
                  <w:rStyle w:val="Hyperlink"/>
                  <w:rFonts w:asciiTheme="minorHAnsi" w:eastAsiaTheme="minorEastAsia" w:hAnsiTheme="minorHAnsi" w:cstheme="minorBidi"/>
                  <w:b/>
                  <w:bCs/>
                  <w:color w:val="auto"/>
                  <w:u w:val="none"/>
                </w:rPr>
                <w:t>HPE 414</w:t>
              </w:r>
              <w:r w:rsidR="05DADE05" w:rsidRPr="54D03C55">
                <w:rPr>
                  <w:rFonts w:asciiTheme="minorHAnsi" w:eastAsiaTheme="minorEastAsia" w:hAnsiTheme="minorHAnsi" w:cstheme="minorBidi"/>
                  <w:b/>
                  <w:bCs/>
                </w:rPr>
                <w:t>.</w:t>
              </w:r>
            </w:hyperlink>
          </w:p>
        </w:tc>
        <w:tc>
          <w:tcPr>
            <w:tcW w:w="3924" w:type="dxa"/>
            <w:noWrap/>
          </w:tcPr>
          <w:p w14:paraId="6724566A" w14:textId="5240897F" w:rsidR="00F64260" w:rsidRPr="009F029C" w:rsidRDefault="54D03C55" w:rsidP="54D03C55">
            <w:pPr>
              <w:spacing w:line="240" w:lineRule="auto"/>
              <w:rPr>
                <w:rFonts w:asciiTheme="minorHAnsi" w:eastAsiaTheme="minorEastAsia" w:hAnsiTheme="minorHAnsi" w:cstheme="minorBidi"/>
                <w:b/>
                <w:bCs/>
              </w:rPr>
            </w:pPr>
            <w:r w:rsidRPr="54D03C55">
              <w:rPr>
                <w:rStyle w:val="Hyperlink"/>
                <w:rFonts w:asciiTheme="minorHAnsi" w:eastAsiaTheme="minorEastAsia" w:hAnsiTheme="minorHAnsi" w:cstheme="minorBidi"/>
                <w:b/>
                <w:bCs/>
                <w:color w:val="auto"/>
                <w:u w:val="none"/>
              </w:rPr>
              <w:t xml:space="preserve">SPED 333 and concurrent enrollment in or completion of </w:t>
            </w:r>
            <w:hyperlink r:id="rId13">
              <w:r w:rsidRPr="54D03C55">
                <w:rPr>
                  <w:rStyle w:val="Hyperlink"/>
                  <w:rFonts w:asciiTheme="minorHAnsi" w:eastAsiaTheme="minorEastAsia" w:hAnsiTheme="minorHAnsi" w:cstheme="minorBidi"/>
                  <w:b/>
                  <w:bCs/>
                  <w:color w:val="auto"/>
                  <w:u w:val="none"/>
                </w:rPr>
                <w:t>HPE 413</w:t>
              </w:r>
            </w:hyperlink>
            <w:r w:rsidRPr="54D03C55">
              <w:rPr>
                <w:rFonts w:asciiTheme="minorHAnsi" w:eastAsiaTheme="minorEastAsia" w:hAnsiTheme="minorHAnsi" w:cstheme="minorBidi"/>
                <w:b/>
                <w:bCs/>
              </w:rPr>
              <w:t xml:space="preserve"> or </w:t>
            </w:r>
            <w:hyperlink r:id="rId14">
              <w:r w:rsidRPr="54D03C55">
                <w:rPr>
                  <w:rStyle w:val="Hyperlink"/>
                  <w:rFonts w:asciiTheme="minorHAnsi" w:eastAsiaTheme="minorEastAsia" w:hAnsiTheme="minorHAnsi" w:cstheme="minorBidi"/>
                  <w:b/>
                  <w:bCs/>
                  <w:color w:val="auto"/>
                  <w:u w:val="none"/>
                </w:rPr>
                <w:t>HPE 414</w:t>
              </w:r>
            </w:hyperlink>
            <w:r w:rsidRPr="54D03C55">
              <w:rPr>
                <w:rFonts w:asciiTheme="minorHAnsi" w:eastAsiaTheme="minorEastAsia" w:hAnsiTheme="minorHAnsi" w:cstheme="minorBidi"/>
                <w:b/>
                <w:bCs/>
              </w:rPr>
              <w:t>.</w:t>
            </w:r>
          </w:p>
          <w:p w14:paraId="4DA91B44" w14:textId="6A800A91" w:rsidR="00F64260" w:rsidRPr="009F029C" w:rsidRDefault="00F64260" w:rsidP="29BFD264">
            <w:pPr>
              <w:spacing w:line="240" w:lineRule="auto"/>
              <w:rPr>
                <w:b/>
                <w:bCs/>
              </w:rPr>
            </w:pPr>
          </w:p>
        </w:tc>
      </w:tr>
      <w:tr w:rsidR="00F64260" w:rsidRPr="006E3AF2" w14:paraId="5AE5E526" w14:textId="77777777" w:rsidTr="54D03C5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1191C3F" w:rsidR="00F64260" w:rsidRPr="009F029C" w:rsidRDefault="00911103" w:rsidP="0F7C2E47">
            <w:pPr>
              <w:spacing w:line="240" w:lineRule="auto"/>
              <w:rPr>
                <w:rStyle w:val="Hyperlink"/>
                <w:b/>
                <w:bCs/>
                <w:sz w:val="20"/>
                <w:szCs w:val="20"/>
              </w:rPr>
            </w:pPr>
            <w:hyperlink w:anchor="As_needed" w:tooltip="Use sparingly; it is better for students to have some idea of when a course will be offered even if it is only every other year" w:history="1"/>
          </w:p>
        </w:tc>
        <w:tc>
          <w:tcPr>
            <w:tcW w:w="3924" w:type="dxa"/>
            <w:noWrap/>
          </w:tcPr>
          <w:p w14:paraId="67D1137F" w14:textId="628366F8" w:rsidR="00F64260" w:rsidRPr="009F029C" w:rsidRDefault="00F64260" w:rsidP="0F7C2E47">
            <w:pPr>
              <w:spacing w:line="240" w:lineRule="auto"/>
              <w:rPr>
                <w:b/>
                <w:bCs/>
                <w:sz w:val="20"/>
                <w:szCs w:val="20"/>
              </w:rPr>
            </w:pPr>
          </w:p>
        </w:tc>
      </w:tr>
      <w:tr w:rsidR="00F64260" w:rsidRPr="006E3AF2" w14:paraId="12464B8B" w14:textId="77777777" w:rsidTr="54D03C5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54D03C5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rsidTr="54D03C5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54D03C55">
        <w:tc>
          <w:tcPr>
            <w:tcW w:w="3168" w:type="dxa"/>
            <w:noWrap/>
            <w:vAlign w:val="center"/>
          </w:tcPr>
          <w:p w14:paraId="519B79E7" w14:textId="3A9E2D05" w:rsidR="00F64260" w:rsidRPr="006E3AF2" w:rsidRDefault="004313E6" w:rsidP="00013152">
            <w:pPr>
              <w:spacing w:line="240" w:lineRule="auto"/>
            </w:pPr>
            <w:r>
              <w:lastRenderedPageBreak/>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00B957F" w:rsidR="00F64260" w:rsidRPr="009F029C" w:rsidRDefault="00F64260" w:rsidP="0F7C2E47">
            <w:pPr>
              <w:spacing w:line="240" w:lineRule="auto"/>
              <w:rPr>
                <w:b/>
                <w:bCs/>
                <w:sz w:val="20"/>
                <w:szCs w:val="20"/>
              </w:rPr>
            </w:pPr>
          </w:p>
        </w:tc>
        <w:tc>
          <w:tcPr>
            <w:tcW w:w="3924" w:type="dxa"/>
            <w:noWrap/>
          </w:tcPr>
          <w:p w14:paraId="2CF717EE" w14:textId="5E6B1980" w:rsidR="00F64260" w:rsidRPr="009F029C" w:rsidRDefault="00F64260" w:rsidP="0F7C2E47">
            <w:pPr>
              <w:spacing w:line="240" w:lineRule="auto"/>
              <w:rPr>
                <w:b/>
                <w:bCs/>
                <w:sz w:val="20"/>
                <w:szCs w:val="20"/>
              </w:rPr>
            </w:pPr>
          </w:p>
        </w:tc>
      </w:tr>
      <w:tr w:rsidR="00F64260" w:rsidRPr="006E3AF2" w14:paraId="66DAB74D" w14:textId="77777777" w:rsidTr="54D03C5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DF77E22" w:rsidR="00F64260" w:rsidRPr="009F029C" w:rsidRDefault="00F64260" w:rsidP="0F7C2E47">
            <w:pPr>
              <w:spacing w:line="240" w:lineRule="auto"/>
              <w:rPr>
                <w:rFonts w:asciiTheme="minorHAnsi" w:eastAsia="MS Mincho" w:hAnsiTheme="minorHAnsi" w:cs="MS Mincho"/>
                <w:b/>
                <w:bCs/>
                <w:sz w:val="20"/>
                <w:szCs w:val="20"/>
              </w:rPr>
            </w:pPr>
            <w:bookmarkStart w:id="20" w:name="instr_methods"/>
            <w:bookmarkEnd w:id="20"/>
          </w:p>
        </w:tc>
        <w:tc>
          <w:tcPr>
            <w:tcW w:w="3924" w:type="dxa"/>
            <w:noWrap/>
          </w:tcPr>
          <w:p w14:paraId="27D66483" w14:textId="21B09D2E" w:rsidR="00F64260" w:rsidRPr="009F029C" w:rsidRDefault="00911103" w:rsidP="0F7C2E47">
            <w:pPr>
              <w:spacing w:line="240" w:lineRule="auto"/>
              <w:rPr>
                <w:b/>
                <w:bCs/>
                <w:sz w:val="20"/>
                <w:szCs w:val="20"/>
              </w:rPr>
            </w:pP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p>
        </w:tc>
      </w:tr>
      <w:tr w:rsidR="00F64260" w:rsidRPr="006E3AF2" w14:paraId="40E0E48F" w14:textId="77777777" w:rsidTr="54D03C5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5CD1EAB" w:rsidR="00F64260" w:rsidRPr="009F029C" w:rsidRDefault="00F64260" w:rsidP="0F7C2E47">
            <w:pPr>
              <w:spacing w:line="240" w:lineRule="auto"/>
              <w:rPr>
                <w:b/>
                <w:bCs/>
                <w:sz w:val="20"/>
                <w:szCs w:val="20"/>
              </w:rPr>
            </w:pPr>
            <w:bookmarkStart w:id="21" w:name="required"/>
            <w:bookmarkEnd w:id="21"/>
          </w:p>
        </w:tc>
        <w:tc>
          <w:tcPr>
            <w:tcW w:w="3924" w:type="dxa"/>
            <w:noWrap/>
          </w:tcPr>
          <w:p w14:paraId="442E5788" w14:textId="175C7BBD" w:rsidR="00F64260" w:rsidRPr="009F029C" w:rsidRDefault="00F64260" w:rsidP="0F7C2E47">
            <w:pPr>
              <w:spacing w:line="240" w:lineRule="auto"/>
              <w:rPr>
                <w:b/>
                <w:bCs/>
                <w:sz w:val="20"/>
                <w:szCs w:val="20"/>
              </w:rPr>
            </w:pPr>
          </w:p>
        </w:tc>
      </w:tr>
      <w:tr w:rsidR="00F64260" w:rsidRPr="006E3AF2" w14:paraId="4F77409C" w14:textId="77777777" w:rsidTr="54D03C5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AB1305" w:rsidR="00F64260" w:rsidRPr="009F029C" w:rsidRDefault="00275117" w:rsidP="0F7C2E47">
            <w:pPr>
              <w:spacing w:line="240" w:lineRule="auto"/>
              <w:rPr>
                <w:b/>
                <w:bCs/>
              </w:rPr>
            </w:pPr>
            <w:r>
              <w:rPr>
                <w:b/>
                <w:bCs/>
              </w:rPr>
              <w:t>no</w:t>
            </w:r>
          </w:p>
        </w:tc>
        <w:tc>
          <w:tcPr>
            <w:tcW w:w="3924" w:type="dxa"/>
            <w:noWrap/>
          </w:tcPr>
          <w:p w14:paraId="41CF798F" w14:textId="23B9D912" w:rsidR="00F64260" w:rsidRPr="009F029C" w:rsidRDefault="00F64260" w:rsidP="0F7C2E47">
            <w:pPr>
              <w:spacing w:line="240" w:lineRule="auto"/>
              <w:rPr>
                <w:b/>
                <w:bCs/>
              </w:rPr>
            </w:pPr>
          </w:p>
        </w:tc>
      </w:tr>
      <w:tr w:rsidR="00F64260" w:rsidRPr="006E3AF2" w14:paraId="3A6D1D6E" w14:textId="77777777" w:rsidTr="54D03C5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28A9CB6" w:rsidR="00F64260" w:rsidRPr="009F029C" w:rsidRDefault="00275117" w:rsidP="0F7C2E47">
            <w:pPr>
              <w:rPr>
                <w:b/>
                <w:bCs/>
              </w:rPr>
            </w:pPr>
            <w:r>
              <w:rPr>
                <w:b/>
                <w:bCs/>
              </w:rPr>
              <w:t>no</w:t>
            </w:r>
            <w:bookmarkStart w:id="22" w:name="_GoBack"/>
            <w:bookmarkEnd w:id="22"/>
          </w:p>
        </w:tc>
        <w:tc>
          <w:tcPr>
            <w:tcW w:w="3924" w:type="dxa"/>
            <w:noWrap/>
          </w:tcPr>
          <w:p w14:paraId="45B135E3" w14:textId="3FE3947C" w:rsidR="00F64260" w:rsidRPr="009F029C" w:rsidRDefault="00F64260" w:rsidP="0F7C2E47">
            <w:pPr>
              <w:spacing w:line="240" w:lineRule="auto"/>
              <w:rPr>
                <w:b/>
                <w:bCs/>
              </w:rPr>
            </w:pPr>
          </w:p>
        </w:tc>
      </w:tr>
      <w:tr w:rsidR="00F64260" w:rsidRPr="006E3AF2" w14:paraId="7309520B" w14:textId="77777777" w:rsidTr="54D03C5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FF968E4" w:rsidR="00F64260" w:rsidRPr="009F029C" w:rsidRDefault="00F64260" w:rsidP="0F7C2E47">
            <w:pPr>
              <w:spacing w:line="240" w:lineRule="auto"/>
              <w:rPr>
                <w:b/>
                <w:bCs/>
                <w:sz w:val="20"/>
                <w:szCs w:val="20"/>
              </w:rPr>
            </w:pPr>
          </w:p>
        </w:tc>
        <w:tc>
          <w:tcPr>
            <w:tcW w:w="3924" w:type="dxa"/>
            <w:noWrap/>
          </w:tcPr>
          <w:p w14:paraId="33AC4615" w14:textId="50928115" w:rsidR="00F64260" w:rsidRPr="009F029C" w:rsidRDefault="00F64260" w:rsidP="0F7C2E47">
            <w:pPr>
              <w:spacing w:line="240" w:lineRule="auto"/>
              <w:rPr>
                <w:b/>
                <w:bCs/>
                <w:sz w:val="20"/>
                <w:szCs w:val="20"/>
              </w:rPr>
            </w:pPr>
          </w:p>
        </w:tc>
      </w:tr>
      <w:tr w:rsidR="00F64260" w:rsidRPr="006E3AF2" w14:paraId="071E0CC5" w14:textId="77777777" w:rsidTr="54D03C55">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54D03C55">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CE190B">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1110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91110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CE190B">
        <w:trPr>
          <w:cantSplit/>
        </w:trPr>
        <w:tc>
          <w:tcPr>
            <w:tcW w:w="4314" w:type="dxa"/>
          </w:tcPr>
          <w:p w14:paraId="5D0D957A" w14:textId="77777777" w:rsidR="00F64260" w:rsidRDefault="00F64260">
            <w:pPr>
              <w:spacing w:line="240" w:lineRule="auto"/>
            </w:pPr>
            <w:bookmarkStart w:id="24" w:name="outcomes"/>
            <w:bookmarkEnd w:id="24"/>
          </w:p>
        </w:tc>
        <w:tc>
          <w:tcPr>
            <w:tcW w:w="1894" w:type="dxa"/>
          </w:tcPr>
          <w:p w14:paraId="6D2C61BA" w14:textId="77777777" w:rsidR="00F64260" w:rsidRDefault="00F64260">
            <w:pPr>
              <w:spacing w:line="240" w:lineRule="auto"/>
            </w:pPr>
            <w:bookmarkStart w:id="25" w:name="standards"/>
            <w:bookmarkEnd w:id="25"/>
          </w:p>
        </w:tc>
        <w:tc>
          <w:tcPr>
            <w:tcW w:w="4572" w:type="dxa"/>
          </w:tcPr>
          <w:p w14:paraId="5AAE18CD" w14:textId="77777777" w:rsidR="00F64260" w:rsidRDefault="00F64260">
            <w:pPr>
              <w:spacing w:line="240" w:lineRule="auto"/>
            </w:pPr>
            <w:bookmarkStart w:id="26" w:name="measured"/>
            <w:bookmarkEnd w:id="26"/>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5"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19CFA14D" w:rsidR="00115A68" w:rsidRPr="001B2E3A" w:rsidRDefault="05DADE05"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64825A77">
        <w:trPr>
          <w:cantSplit/>
          <w:tblHeader/>
        </w:trPr>
        <w:tc>
          <w:tcPr>
            <w:tcW w:w="3279" w:type="dxa"/>
            <w:vAlign w:val="center"/>
          </w:tcPr>
          <w:p w14:paraId="739386E3" w14:textId="77777777" w:rsidR="00115A68" w:rsidRPr="00A83A6C" w:rsidRDefault="00115A68" w:rsidP="00E0356B">
            <w:pPr>
              <w:pStyle w:val="Heading5"/>
              <w:jc w:val="center"/>
            </w:pPr>
            <w:r w:rsidRPr="00A83A6C">
              <w:t>Name</w:t>
            </w:r>
          </w:p>
        </w:tc>
        <w:tc>
          <w:tcPr>
            <w:tcW w:w="3279" w:type="dxa"/>
            <w:vAlign w:val="center"/>
          </w:tcPr>
          <w:p w14:paraId="7DAAAD1E" w14:textId="77777777" w:rsidR="00115A68" w:rsidRPr="00A83A6C" w:rsidRDefault="00115A68" w:rsidP="00E0356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E0356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E0356B">
            <w:pPr>
              <w:pStyle w:val="Heading5"/>
              <w:jc w:val="center"/>
            </w:pPr>
            <w:r w:rsidRPr="00A83A6C">
              <w:t>Date</w:t>
            </w:r>
          </w:p>
        </w:tc>
      </w:tr>
      <w:tr w:rsidR="00115A68" w14:paraId="0AE26A02" w14:textId="77777777" w:rsidTr="64825A77">
        <w:trPr>
          <w:cantSplit/>
          <w:trHeight w:val="489"/>
        </w:trPr>
        <w:tc>
          <w:tcPr>
            <w:tcW w:w="3279" w:type="dxa"/>
            <w:vAlign w:val="center"/>
          </w:tcPr>
          <w:p w14:paraId="20877218" w14:textId="061B30DA" w:rsidR="00115A68" w:rsidRDefault="64825A77" w:rsidP="00E0356B">
            <w:pPr>
              <w:spacing w:line="240" w:lineRule="auto"/>
            </w:pPr>
            <w:r>
              <w:t>Gerri August and /or Julie Horwitz</w:t>
            </w:r>
          </w:p>
        </w:tc>
        <w:tc>
          <w:tcPr>
            <w:tcW w:w="3279" w:type="dxa"/>
            <w:vAlign w:val="center"/>
          </w:tcPr>
          <w:p w14:paraId="0730C1D0" w14:textId="762A4EBC" w:rsidR="00115A68" w:rsidRDefault="0F7C2E47" w:rsidP="0F7C2E47">
            <w:pPr>
              <w:spacing w:line="240" w:lineRule="auto"/>
            </w:pPr>
            <w:r>
              <w:t xml:space="preserve">Dean FSEHD </w:t>
            </w:r>
          </w:p>
        </w:tc>
        <w:tc>
          <w:tcPr>
            <w:tcW w:w="3280" w:type="dxa"/>
            <w:vAlign w:val="center"/>
          </w:tcPr>
          <w:p w14:paraId="7487F9CA" w14:textId="77777777" w:rsidR="00115A68" w:rsidRDefault="00115A68" w:rsidP="00E0356B">
            <w:pPr>
              <w:spacing w:line="240" w:lineRule="auto"/>
            </w:pPr>
          </w:p>
        </w:tc>
        <w:tc>
          <w:tcPr>
            <w:tcW w:w="1178" w:type="dxa"/>
            <w:vAlign w:val="center"/>
          </w:tcPr>
          <w:p w14:paraId="1F86A130" w14:textId="77777777" w:rsidR="00115A68" w:rsidRDefault="00115A68" w:rsidP="00E0356B">
            <w:pPr>
              <w:spacing w:line="240" w:lineRule="auto"/>
            </w:pPr>
          </w:p>
        </w:tc>
      </w:tr>
      <w:tr w:rsidR="00115A68" w14:paraId="3308AC9C" w14:textId="77777777" w:rsidTr="64825A77">
        <w:trPr>
          <w:cantSplit/>
          <w:trHeight w:val="489"/>
        </w:trPr>
        <w:tc>
          <w:tcPr>
            <w:tcW w:w="3279" w:type="dxa"/>
            <w:vAlign w:val="center"/>
          </w:tcPr>
          <w:p w14:paraId="2B0991B7" w14:textId="540BD664" w:rsidR="00115A68" w:rsidRDefault="05DADE05" w:rsidP="00E0356B">
            <w:pPr>
              <w:spacing w:line="240" w:lineRule="auto"/>
            </w:pPr>
            <w:r>
              <w:t>Robin Kirkwood Auld</w:t>
            </w:r>
          </w:p>
        </w:tc>
        <w:tc>
          <w:tcPr>
            <w:tcW w:w="3279" w:type="dxa"/>
            <w:vAlign w:val="center"/>
          </w:tcPr>
          <w:p w14:paraId="2927DBCB" w14:textId="583EAAEA" w:rsidR="00115A68" w:rsidRDefault="0F7C2E47" w:rsidP="00E0356B">
            <w:pPr>
              <w:spacing w:line="240" w:lineRule="auto"/>
            </w:pPr>
            <w:r>
              <w:t>Chair of HPE</w:t>
            </w:r>
          </w:p>
        </w:tc>
        <w:tc>
          <w:tcPr>
            <w:tcW w:w="3280" w:type="dxa"/>
            <w:vAlign w:val="center"/>
          </w:tcPr>
          <w:p w14:paraId="7927CB11" w14:textId="77777777" w:rsidR="00115A68" w:rsidRDefault="00115A68" w:rsidP="00E0356B">
            <w:pPr>
              <w:spacing w:line="240" w:lineRule="auto"/>
            </w:pPr>
          </w:p>
        </w:tc>
        <w:tc>
          <w:tcPr>
            <w:tcW w:w="1178" w:type="dxa"/>
            <w:vAlign w:val="center"/>
          </w:tcPr>
          <w:p w14:paraId="06A64098" w14:textId="77777777" w:rsidR="00115A68" w:rsidRDefault="00115A68" w:rsidP="00E0356B">
            <w:pPr>
              <w:spacing w:line="240" w:lineRule="auto"/>
            </w:pPr>
          </w:p>
        </w:tc>
      </w:tr>
      <w:tr w:rsidR="00115A68" w14:paraId="5FB4CB46" w14:textId="77777777" w:rsidTr="64825A77">
        <w:trPr>
          <w:cantSplit/>
          <w:trHeight w:val="489"/>
        </w:trPr>
        <w:tc>
          <w:tcPr>
            <w:tcW w:w="3279" w:type="dxa"/>
            <w:vAlign w:val="center"/>
          </w:tcPr>
          <w:p w14:paraId="6ED2A8A6" w14:textId="4C099EF3" w:rsidR="00115A68" w:rsidRDefault="05DADE05" w:rsidP="00E0356B">
            <w:pPr>
              <w:spacing w:line="240" w:lineRule="auto"/>
            </w:pPr>
            <w:r>
              <w:t>Ying Hui-Michael</w:t>
            </w:r>
          </w:p>
        </w:tc>
        <w:tc>
          <w:tcPr>
            <w:tcW w:w="3279" w:type="dxa"/>
            <w:vAlign w:val="center"/>
          </w:tcPr>
          <w:p w14:paraId="229CC930" w14:textId="1A66B939" w:rsidR="00115A68" w:rsidRDefault="0F7C2E47" w:rsidP="0F7C2E47">
            <w:pPr>
              <w:spacing w:line="240" w:lineRule="auto"/>
            </w:pPr>
            <w:r>
              <w:t>Chair of SPED</w:t>
            </w:r>
          </w:p>
        </w:tc>
        <w:tc>
          <w:tcPr>
            <w:tcW w:w="3280" w:type="dxa"/>
            <w:vAlign w:val="center"/>
          </w:tcPr>
          <w:p w14:paraId="73DF0B07" w14:textId="77777777" w:rsidR="00115A68" w:rsidRDefault="00115A68" w:rsidP="00E0356B">
            <w:pPr>
              <w:spacing w:line="240" w:lineRule="auto"/>
            </w:pPr>
          </w:p>
        </w:tc>
        <w:tc>
          <w:tcPr>
            <w:tcW w:w="1178" w:type="dxa"/>
            <w:vAlign w:val="center"/>
          </w:tcPr>
          <w:p w14:paraId="4EB70E84" w14:textId="57D93256" w:rsidR="00115A68" w:rsidRDefault="00115A68" w:rsidP="00E0356B">
            <w:pPr>
              <w:spacing w:line="240" w:lineRule="auto"/>
            </w:pPr>
          </w:p>
        </w:tc>
      </w:tr>
    </w:tbl>
    <w:p w14:paraId="35E716CB" w14:textId="77777777" w:rsidR="00115A68" w:rsidRDefault="00115A68" w:rsidP="00115A68">
      <w:pPr>
        <w:pStyle w:val="Heading5"/>
      </w:pPr>
    </w:p>
    <w:sectPr w:rsidR="00115A68" w:rsidSect="00CD18D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9103" w14:textId="77777777" w:rsidR="00911103" w:rsidRDefault="00911103" w:rsidP="00FA78CA">
      <w:pPr>
        <w:spacing w:line="240" w:lineRule="auto"/>
      </w:pPr>
      <w:r>
        <w:separator/>
      </w:r>
    </w:p>
  </w:endnote>
  <w:endnote w:type="continuationSeparator" w:id="0">
    <w:p w14:paraId="6C55B61A" w14:textId="77777777" w:rsidR="00911103" w:rsidRDefault="00911103" w:rsidP="00FA78CA">
      <w:pPr>
        <w:spacing w:line="240" w:lineRule="auto"/>
      </w:pPr>
      <w:r>
        <w:continuationSeparator/>
      </w:r>
    </w:p>
  </w:endnote>
  <w:endnote w:type="continuationNotice" w:id="1">
    <w:p w14:paraId="104787C8" w14:textId="77777777" w:rsidR="00911103" w:rsidRDefault="00911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972B69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B412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B4125">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D245" w14:textId="77777777" w:rsidR="00911103" w:rsidRDefault="00911103" w:rsidP="00FA78CA">
      <w:pPr>
        <w:spacing w:line="240" w:lineRule="auto"/>
      </w:pPr>
      <w:r>
        <w:separator/>
      </w:r>
    </w:p>
  </w:footnote>
  <w:footnote w:type="continuationSeparator" w:id="0">
    <w:p w14:paraId="7230ACEC" w14:textId="77777777" w:rsidR="00911103" w:rsidRDefault="00911103" w:rsidP="00FA78CA">
      <w:pPr>
        <w:spacing w:line="240" w:lineRule="auto"/>
      </w:pPr>
      <w:r>
        <w:continuationSeparator/>
      </w:r>
    </w:p>
  </w:footnote>
  <w:footnote w:type="continuationNotice" w:id="1">
    <w:p w14:paraId="121A5CAA" w14:textId="77777777" w:rsidR="00911103" w:rsidRDefault="009111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945AEF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E190B">
      <w:rPr>
        <w:color w:val="4F6228"/>
      </w:rPr>
      <w:t>18-19-311</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E190B">
      <w:rPr>
        <w:color w:val="4F6228"/>
      </w:rPr>
      <w:t>4/15/2019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3AA4"/>
    <w:rsid w:val="001A37FB"/>
    <w:rsid w:val="001A51ED"/>
    <w:rsid w:val="001B2E3A"/>
    <w:rsid w:val="0020058E"/>
    <w:rsid w:val="00237355"/>
    <w:rsid w:val="0026461B"/>
    <w:rsid w:val="00275117"/>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20D1B"/>
    <w:rsid w:val="00664AE2"/>
    <w:rsid w:val="00670869"/>
    <w:rsid w:val="006761E1"/>
    <w:rsid w:val="006970B0"/>
    <w:rsid w:val="006B20A9"/>
    <w:rsid w:val="006E3AF2"/>
    <w:rsid w:val="006E6680"/>
    <w:rsid w:val="006F7F90"/>
    <w:rsid w:val="00704CFF"/>
    <w:rsid w:val="00706745"/>
    <w:rsid w:val="007072F7"/>
    <w:rsid w:val="007409F6"/>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B4125"/>
    <w:rsid w:val="008D52B7"/>
    <w:rsid w:val="008E0FCD"/>
    <w:rsid w:val="008E3EFA"/>
    <w:rsid w:val="008F175C"/>
    <w:rsid w:val="00905E67"/>
    <w:rsid w:val="00911103"/>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7AB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59A5"/>
    <w:rsid w:val="00CE190B"/>
    <w:rsid w:val="00D56C09"/>
    <w:rsid w:val="00D64DF4"/>
    <w:rsid w:val="00D65F02"/>
    <w:rsid w:val="00D75B84"/>
    <w:rsid w:val="00D75FF8"/>
    <w:rsid w:val="00DA73A0"/>
    <w:rsid w:val="00DB23D4"/>
    <w:rsid w:val="00DB63D4"/>
    <w:rsid w:val="00DD69AE"/>
    <w:rsid w:val="00DE2B7A"/>
    <w:rsid w:val="00DF4FCD"/>
    <w:rsid w:val="00DF7C07"/>
    <w:rsid w:val="00E0356B"/>
    <w:rsid w:val="00E36AF7"/>
    <w:rsid w:val="00E4755D"/>
    <w:rsid w:val="00E641DE"/>
    <w:rsid w:val="00E86435"/>
    <w:rsid w:val="00EB33FD"/>
    <w:rsid w:val="00EC63A4"/>
    <w:rsid w:val="00EC7B24"/>
    <w:rsid w:val="00ED1712"/>
    <w:rsid w:val="00F15B95"/>
    <w:rsid w:val="00F3256C"/>
    <w:rsid w:val="00F32980"/>
    <w:rsid w:val="00F64260"/>
    <w:rsid w:val="00F871BA"/>
    <w:rsid w:val="00FA6359"/>
    <w:rsid w:val="00FA6998"/>
    <w:rsid w:val="00FA769F"/>
    <w:rsid w:val="00FA78CA"/>
    <w:rsid w:val="00FE6A1D"/>
    <w:rsid w:val="05DADE05"/>
    <w:rsid w:val="0F7C2E47"/>
    <w:rsid w:val="29BFD264"/>
    <w:rsid w:val="2B4D263C"/>
    <w:rsid w:val="46B1A1E9"/>
    <w:rsid w:val="54D03C55"/>
    <w:rsid w:val="6462F9E9"/>
    <w:rsid w:val="64825A77"/>
    <w:rsid w:val="6960808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0B4247E-4D11-4794-A30D-1524C05B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ic.smartcatalogiq.com/2018-2019/Catalog/Courses/HPE-Health-and-Physical-Education/400/HPE-4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ic.smartcatalogiq.com/2018-2019/Catalog/Courses/HPE-Health-and-Physical-Education/400/HPE-4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c.smartcatalogiq.com/2018-2019/Catalog/Courses/HPE-Health-and-Physical-Education/400/HPE-413" TargetMode="External"/><Relationship Id="rId5" Type="http://schemas.openxmlformats.org/officeDocument/2006/relationships/styles" Target="styles.xml"/><Relationship Id="rId15" Type="http://schemas.openxmlformats.org/officeDocument/2006/relationships/hyperlink" Target="mailto:curriculum@ric.ed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ic.smartcatalogiq.com/2018-2019/Catalog/Courses/HPE-Health-and-Physical-Education/400/HPE-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67Z3ZXSPZZWZ-949-990</_dlc_DocId>
    <_dlc_DocIdUrl xmlns="67887a43-7e4d-4c1c-91d7-15e417b1b8ab">
      <Url>https://w3.ric.edu/curriculum_committee/_layouts/15/DocIdRedir.aspx?ID=67Z3ZXSPZZWZ-949-990</Url>
      <Description>67Z3ZXSPZZWZ-949-990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A4CF4-43C5-4610-9631-91E3381603A6}"/>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445FE33-D119-40A4-8264-B8451321DF42}"/>
</file>

<file path=docProps/app.xml><?xml version="1.0" encoding="utf-8"?>
<Properties xmlns="http://schemas.openxmlformats.org/officeDocument/2006/extended-properties" xmlns:vt="http://schemas.openxmlformats.org/officeDocument/2006/docPropsVTypes">
  <Template>Normal.dotm</Template>
  <TotalTime>2</TotalTime>
  <Pages>2</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4</cp:revision>
  <cp:lastPrinted>2015-10-02T15:20:00Z</cp:lastPrinted>
  <dcterms:created xsi:type="dcterms:W3CDTF">2019-04-15T19:52:00Z</dcterms:created>
  <dcterms:modified xsi:type="dcterms:W3CDTF">2019-04-25T21:12:00Z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79006dbd-3b51-46fb-9c5e-1763420f33ff</vt:lpwstr>
  </property>
  <property fmtid="{D5CDD505-2E9C-101B-9397-08002B2CF9AE}" pid="5" name="AuthorIds_UIVersion_1536">
    <vt:lpwstr>23</vt:lpwstr>
  </property>
  <property fmtid="{D5CDD505-2E9C-101B-9397-08002B2CF9AE}" pid="6" name="AuthorIds_UIVersion_5632">
    <vt:lpwstr>16,19</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