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093" w:rsidRDefault="00630B99">
      <w:pPr>
        <w:pStyle w:val="Heading1"/>
      </w:pPr>
      <w:r>
        <w:t xml:space="preserve"> </w:t>
      </w:r>
      <w:r w:rsidR="00722250">
        <w:t>UNDERGRADUATE CURRICULUM COMMITTEE (UCC)</w:t>
      </w:r>
      <w:r w:rsidR="00722250">
        <w:br/>
        <w:t>PROPOSAL FORM</w:t>
      </w:r>
      <w:r w:rsidR="00722250">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2"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B61093" w:rsidRDefault="00722250">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3ckvvd">
        <w:r>
          <w:rPr>
            <w:color w:val="0000FF"/>
            <w:sz w:val="18"/>
            <w:szCs w:val="18"/>
            <w:u w:val="single"/>
          </w:rPr>
          <w:t>instructions</w:t>
        </w:r>
      </w:hyperlink>
      <w:r>
        <w:rPr>
          <w:color w:val="0000FF"/>
          <w:sz w:val="18"/>
          <w:szCs w:val="18"/>
          <w:u w:val="single"/>
        </w:rPr>
        <w:t>:</w:t>
      </w:r>
      <w:r>
        <w:t xml:space="preserve"> </w:t>
      </w:r>
      <w:r>
        <w:rPr>
          <w:sz w:val="20"/>
          <w:szCs w:val="20"/>
        </w:rPr>
        <w:t>please read.</w:t>
      </w:r>
    </w:p>
    <w:p w:rsidR="00B61093" w:rsidRDefault="00722250">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B61093" w:rsidRDefault="00722250">
      <w:pPr>
        <w:jc w:val="center"/>
        <w:rPr>
          <w:b/>
          <w:color w:val="632423"/>
        </w:rPr>
      </w:pPr>
      <w:r>
        <w:rPr>
          <w:b/>
          <w:color w:val="632423"/>
        </w:rPr>
        <w:t>ALL numbers in section (A) need to be completed, including the impact ones.</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B61093">
        <w:tc>
          <w:tcPr>
            <w:tcW w:w="2396" w:type="dxa"/>
            <w:vAlign w:val="center"/>
          </w:tcPr>
          <w:p w:rsidR="00B61093" w:rsidRDefault="00722250">
            <w:r>
              <w:t xml:space="preserve">A.1. </w:t>
            </w:r>
            <w:hyperlink w:anchor="gjdgxs">
              <w:r>
                <w:rPr>
                  <w:color w:val="0000FF"/>
                  <w:u w:val="single"/>
                </w:rPr>
                <w:t>Course or program</w:t>
              </w:r>
            </w:hyperlink>
          </w:p>
        </w:tc>
        <w:tc>
          <w:tcPr>
            <w:tcW w:w="8102" w:type="dxa"/>
            <w:gridSpan w:val="4"/>
          </w:tcPr>
          <w:p w:rsidR="00B61093" w:rsidRDefault="00722250">
            <w:pPr>
              <w:pStyle w:val="Heading5"/>
              <w:rPr>
                <w:b/>
              </w:rPr>
            </w:pPr>
            <w:bookmarkStart w:id="0" w:name="gjdgxs" w:colFirst="0" w:colLast="0"/>
            <w:bookmarkEnd w:id="0"/>
            <w:r>
              <w:rPr>
                <w:b/>
              </w:rPr>
              <w:t>HIST 108 – History of science and medicine</w:t>
            </w:r>
          </w:p>
        </w:tc>
        <w:tc>
          <w:tcPr>
            <w:tcW w:w="282" w:type="dxa"/>
            <w:vMerge w:val="restart"/>
          </w:tcPr>
          <w:p w:rsidR="00B61093" w:rsidRDefault="00B61093">
            <w:pPr>
              <w:spacing w:line="240" w:lineRule="auto"/>
              <w:rPr>
                <w:b/>
              </w:rPr>
            </w:pPr>
            <w:bookmarkStart w:id="1" w:name="1fob9te" w:colFirst="0" w:colLast="0"/>
            <w:bookmarkStart w:id="2" w:name="_30j0zll" w:colFirst="0" w:colLast="0"/>
            <w:bookmarkEnd w:id="1"/>
            <w:bookmarkEnd w:id="2"/>
          </w:p>
        </w:tc>
      </w:tr>
      <w:tr w:rsidR="00B61093">
        <w:trPr>
          <w:trHeight w:val="240"/>
        </w:trPr>
        <w:tc>
          <w:tcPr>
            <w:tcW w:w="2396" w:type="dxa"/>
            <w:vAlign w:val="center"/>
          </w:tcPr>
          <w:p w:rsidR="00B61093" w:rsidRDefault="00722250">
            <w:r>
              <w:t xml:space="preserve">A.2. </w:t>
            </w:r>
            <w:hyperlink w:anchor="2et92p0">
              <w:r>
                <w:rPr>
                  <w:color w:val="0000FF"/>
                  <w:u w:val="single"/>
                </w:rPr>
                <w:t>Proposal type</w:t>
              </w:r>
            </w:hyperlink>
          </w:p>
        </w:tc>
        <w:tc>
          <w:tcPr>
            <w:tcW w:w="8102" w:type="dxa"/>
            <w:gridSpan w:val="4"/>
          </w:tcPr>
          <w:p w:rsidR="00B61093" w:rsidRDefault="00722250">
            <w:pPr>
              <w:rPr>
                <w:b/>
              </w:rPr>
            </w:pPr>
            <w:bookmarkStart w:id="3" w:name="2et92p0" w:colFirst="0" w:colLast="0"/>
            <w:bookmarkEnd w:id="3"/>
            <w:r>
              <w:rPr>
                <w:b/>
              </w:rPr>
              <w:t>Course:  creation</w:t>
            </w:r>
            <w:bookmarkStart w:id="4" w:name="tyjcwt" w:colFirst="0" w:colLast="0"/>
            <w:bookmarkEnd w:id="4"/>
          </w:p>
        </w:tc>
        <w:tc>
          <w:tcPr>
            <w:tcW w:w="282" w:type="dxa"/>
            <w:vMerge/>
          </w:tcPr>
          <w:p w:rsidR="00B61093" w:rsidRDefault="00B61093">
            <w:pPr>
              <w:widowControl w:val="0"/>
              <w:pBdr>
                <w:top w:val="nil"/>
                <w:left w:val="nil"/>
                <w:bottom w:val="nil"/>
                <w:right w:val="nil"/>
                <w:between w:val="nil"/>
              </w:pBdr>
              <w:spacing w:line="276" w:lineRule="auto"/>
              <w:rPr>
                <w:b/>
              </w:rPr>
            </w:pPr>
          </w:p>
        </w:tc>
      </w:tr>
      <w:tr w:rsidR="00B61093">
        <w:tc>
          <w:tcPr>
            <w:tcW w:w="2396" w:type="dxa"/>
            <w:vAlign w:val="center"/>
          </w:tcPr>
          <w:p w:rsidR="00B61093" w:rsidRDefault="00722250">
            <w:r>
              <w:t xml:space="preserve">A.3. </w:t>
            </w:r>
            <w:hyperlink w:anchor="3dy6vkm">
              <w:r>
                <w:rPr>
                  <w:color w:val="0000FF"/>
                  <w:u w:val="single"/>
                </w:rPr>
                <w:t>Originator</w:t>
              </w:r>
            </w:hyperlink>
          </w:p>
        </w:tc>
        <w:tc>
          <w:tcPr>
            <w:tcW w:w="2501" w:type="dxa"/>
          </w:tcPr>
          <w:p w:rsidR="00B61093" w:rsidRDefault="00722250">
            <w:pPr>
              <w:rPr>
                <w:b/>
              </w:rPr>
            </w:pPr>
            <w:r>
              <w:rPr>
                <w:b/>
              </w:rPr>
              <w:t>April Kiser</w:t>
            </w:r>
          </w:p>
        </w:tc>
        <w:tc>
          <w:tcPr>
            <w:tcW w:w="2609" w:type="dxa"/>
          </w:tcPr>
          <w:p w:rsidR="00B61093" w:rsidRDefault="00A00F2F">
            <w:hyperlink w:anchor="1t3h5sf">
              <w:r w:rsidR="00722250">
                <w:rPr>
                  <w:color w:val="0000FF"/>
                  <w:u w:val="single"/>
                </w:rPr>
                <w:t>Home department</w:t>
              </w:r>
            </w:hyperlink>
          </w:p>
        </w:tc>
        <w:tc>
          <w:tcPr>
            <w:tcW w:w="3274" w:type="dxa"/>
            <w:gridSpan w:val="3"/>
          </w:tcPr>
          <w:p w:rsidR="00B61093" w:rsidRDefault="00722250">
            <w:pPr>
              <w:rPr>
                <w:b/>
              </w:rPr>
            </w:pPr>
            <w:r>
              <w:rPr>
                <w:b/>
              </w:rPr>
              <w:t>History</w:t>
            </w:r>
          </w:p>
        </w:tc>
      </w:tr>
      <w:tr w:rsidR="00B61093">
        <w:tc>
          <w:tcPr>
            <w:tcW w:w="2396" w:type="dxa"/>
            <w:vAlign w:val="center"/>
          </w:tcPr>
          <w:p w:rsidR="00B61093" w:rsidRDefault="00722250">
            <w:r>
              <w:t xml:space="preserve">A.4. </w:t>
            </w:r>
            <w:hyperlink w:anchor="4d34og8">
              <w:r>
                <w:rPr>
                  <w:color w:val="0000FF"/>
                  <w:u w:val="single"/>
                </w:rPr>
                <w:t>Context and Rationale</w:t>
              </w:r>
            </w:hyperlink>
            <w:r>
              <w:rPr>
                <w:color w:val="0000FF"/>
                <w:u w:val="single"/>
              </w:rPr>
              <w:t xml:space="preserve"> </w:t>
            </w:r>
          </w:p>
        </w:tc>
        <w:tc>
          <w:tcPr>
            <w:tcW w:w="8384" w:type="dxa"/>
            <w:gridSpan w:val="5"/>
          </w:tcPr>
          <w:p w:rsidR="00311EBA" w:rsidRPr="00C65D19" w:rsidRDefault="00311EBA" w:rsidP="00311EBA">
            <w:pPr>
              <w:spacing w:line="240" w:lineRule="auto"/>
            </w:pPr>
            <w:bookmarkStart w:id="5" w:name="4d34og8" w:colFirst="0" w:colLast="0"/>
            <w:bookmarkEnd w:id="5"/>
            <w:r w:rsidRPr="00C65D19">
              <w:t xml:space="preserve">The creation of HIST 108 responds to Feinstein School’s request for a history general education course in the history of science and medicine that serves the science education students. This topic will also attract students in the School of Nursing, health and science majors. The course offers the opportunity to acquire familiarity with the critical thinking skills present in history while gaining a greater appreciation of the historical roots of their professional fields of study. The topic fits with the History department’s development of courses focused on compelling topics that encourage engaged encounters with the sources and skills utilized in the study of the past. </w:t>
            </w:r>
          </w:p>
          <w:p w:rsidR="00B61093" w:rsidRPr="00C65D19" w:rsidRDefault="00B61093"/>
          <w:p w:rsidR="00B61093" w:rsidRDefault="00722250">
            <w:pPr>
              <w:rPr>
                <w:b/>
              </w:rPr>
            </w:pPr>
            <w:r w:rsidRPr="00C65D19">
              <w:t xml:space="preserve">In addition, </w:t>
            </w:r>
            <w:r w:rsidR="00311EBA" w:rsidRPr="00C65D19">
              <w:t xml:space="preserve">for the Education students, </w:t>
            </w:r>
            <w:r w:rsidRPr="00C65D19">
              <w:t>this course meets the 2020 National Science Teachers Association/Association of Science Teacher Educators standard 1a: “Use and apply the major concepts, principles, theories, laws, and interrelationships of their fields of licensure and supporting fields. Explain the nature of science and the cultural norms and values inherent to the current and historical development of scientific knowledge.”</w:t>
            </w:r>
          </w:p>
        </w:tc>
      </w:tr>
      <w:tr w:rsidR="00B61093">
        <w:tc>
          <w:tcPr>
            <w:tcW w:w="2396" w:type="dxa"/>
            <w:vAlign w:val="center"/>
          </w:tcPr>
          <w:p w:rsidR="00B61093" w:rsidRDefault="00722250">
            <w:r>
              <w:t xml:space="preserve">A.5. </w:t>
            </w:r>
            <w:hyperlink w:anchor="2s8eyo1">
              <w:r>
                <w:rPr>
                  <w:color w:val="0000FF"/>
                  <w:u w:val="single"/>
                </w:rPr>
                <w:t>Student impact</w:t>
              </w:r>
            </w:hyperlink>
          </w:p>
        </w:tc>
        <w:tc>
          <w:tcPr>
            <w:tcW w:w="8384" w:type="dxa"/>
            <w:gridSpan w:val="5"/>
          </w:tcPr>
          <w:p w:rsidR="00B61093" w:rsidRPr="00C65D19" w:rsidRDefault="00311EBA">
            <w:bookmarkStart w:id="6" w:name="2s8eyo1" w:colFirst="0" w:colLast="0"/>
            <w:bookmarkEnd w:id="6"/>
            <w:r w:rsidRPr="00C65D19">
              <w:t>HIST 108’s topic of science and medicine will appeal to the interests and needs of many RIC students, and increase the amount of options available to students who are completing their history general education requirement. Students of science education in Feinstein School will benefit from a history general education course that connects to their interests as well as to their needs to contextualize science in history. Students with majors in the sciences, health sciences and nursing will also have the opportunity to learn about historical subjects and practices through examples they are professionally pursuing and often passionate about, helping them to connect to a different discipline—history—in a way that is personally meaningful and compelling. Similarly, it will expose history and other non-science majors to the study of science and ideally stir their interest in further investigation of science and medicine.</w:t>
            </w:r>
          </w:p>
        </w:tc>
      </w:tr>
      <w:tr w:rsidR="00B61093">
        <w:tc>
          <w:tcPr>
            <w:tcW w:w="2396" w:type="dxa"/>
            <w:vAlign w:val="center"/>
          </w:tcPr>
          <w:p w:rsidR="00B61093" w:rsidRDefault="00722250">
            <w:r>
              <w:t xml:space="preserve">A.6. </w:t>
            </w:r>
            <w:hyperlink w:anchor="ihv636">
              <w:r>
                <w:rPr>
                  <w:color w:val="0000FF"/>
                  <w:u w:val="single"/>
                </w:rPr>
                <w:t>Impact on other programs</w:t>
              </w:r>
            </w:hyperlink>
            <w:r>
              <w:t xml:space="preserve"> </w:t>
            </w:r>
          </w:p>
        </w:tc>
        <w:tc>
          <w:tcPr>
            <w:tcW w:w="8384" w:type="dxa"/>
            <w:gridSpan w:val="5"/>
          </w:tcPr>
          <w:p w:rsidR="00B61093" w:rsidRDefault="00C65D19">
            <w:pPr>
              <w:rPr>
                <w:b/>
              </w:rPr>
            </w:pPr>
            <w:bookmarkStart w:id="7" w:name="17dp8vu" w:colFirst="0" w:colLast="0"/>
            <w:bookmarkEnd w:id="7"/>
            <w:r>
              <w:t>HIST 108 will have a positive impact because students will have another history general education option. This option will attract students interested in science and health fields, important and vibrant fields of study at RIC.</w:t>
            </w:r>
          </w:p>
        </w:tc>
      </w:tr>
      <w:tr w:rsidR="00B61093">
        <w:tc>
          <w:tcPr>
            <w:tcW w:w="2396" w:type="dxa"/>
            <w:vMerge w:val="restart"/>
            <w:vAlign w:val="center"/>
          </w:tcPr>
          <w:p w:rsidR="00B61093" w:rsidRDefault="00722250">
            <w:r>
              <w:t xml:space="preserve">A.7. </w:t>
            </w:r>
            <w:hyperlink w:anchor="32hioqz">
              <w:r>
                <w:rPr>
                  <w:color w:val="0000FF"/>
                  <w:u w:val="single"/>
                </w:rPr>
                <w:t>Resource impact</w:t>
              </w:r>
            </w:hyperlink>
          </w:p>
        </w:tc>
        <w:tc>
          <w:tcPr>
            <w:tcW w:w="2501" w:type="dxa"/>
          </w:tcPr>
          <w:p w:rsidR="00B61093" w:rsidRDefault="00A00F2F">
            <w:hyperlink w:anchor="1hmsyys">
              <w:r w:rsidR="00722250">
                <w:rPr>
                  <w:i/>
                  <w:color w:val="0000FF"/>
                  <w:u w:val="single"/>
                </w:rPr>
                <w:t>Faculty PT &amp; FT</w:t>
              </w:r>
            </w:hyperlink>
            <w:r w:rsidR="00722250">
              <w:t xml:space="preserve">: </w:t>
            </w:r>
          </w:p>
        </w:tc>
        <w:tc>
          <w:tcPr>
            <w:tcW w:w="5883" w:type="dxa"/>
            <w:gridSpan w:val="4"/>
          </w:tcPr>
          <w:p w:rsidR="00B61093" w:rsidRDefault="00722250">
            <w:pPr>
              <w:rPr>
                <w:b/>
              </w:rPr>
            </w:pPr>
            <w:r>
              <w:rPr>
                <w:b/>
              </w:rPr>
              <w:t>No impact.</w:t>
            </w:r>
          </w:p>
        </w:tc>
      </w:tr>
      <w:tr w:rsidR="00B61093">
        <w:tc>
          <w:tcPr>
            <w:tcW w:w="2396" w:type="dxa"/>
            <w:vMerge/>
            <w:vAlign w:val="center"/>
          </w:tcPr>
          <w:p w:rsidR="00B61093" w:rsidRDefault="00B61093">
            <w:pPr>
              <w:widowControl w:val="0"/>
              <w:pBdr>
                <w:top w:val="nil"/>
                <w:left w:val="nil"/>
                <w:bottom w:val="nil"/>
                <w:right w:val="nil"/>
                <w:between w:val="nil"/>
              </w:pBdr>
              <w:spacing w:line="276" w:lineRule="auto"/>
              <w:rPr>
                <w:b/>
              </w:rPr>
            </w:pPr>
          </w:p>
        </w:tc>
        <w:tc>
          <w:tcPr>
            <w:tcW w:w="2501" w:type="dxa"/>
          </w:tcPr>
          <w:p w:rsidR="00B61093" w:rsidRDefault="00A00F2F">
            <w:pPr>
              <w:rPr>
                <w:i/>
              </w:rPr>
            </w:pPr>
            <w:hyperlink w:anchor="41mghml">
              <w:r w:rsidR="00722250">
                <w:rPr>
                  <w:i/>
                  <w:color w:val="0000FF"/>
                  <w:u w:val="single"/>
                </w:rPr>
                <w:t>Library</w:t>
              </w:r>
            </w:hyperlink>
            <w:hyperlink w:anchor="41mghml">
              <w:r w:rsidR="00722250">
                <w:rPr>
                  <w:color w:val="0000FF"/>
                  <w:u w:val="single"/>
                </w:rPr>
                <w:t>:</w:t>
              </w:r>
            </w:hyperlink>
          </w:p>
        </w:tc>
        <w:tc>
          <w:tcPr>
            <w:tcW w:w="5883" w:type="dxa"/>
            <w:gridSpan w:val="4"/>
          </w:tcPr>
          <w:p w:rsidR="00B61093" w:rsidRDefault="00722250">
            <w:pPr>
              <w:rPr>
                <w:b/>
              </w:rPr>
            </w:pPr>
            <w:r>
              <w:rPr>
                <w:b/>
              </w:rPr>
              <w:t>Makes use of the strong history of science collection we already have</w:t>
            </w:r>
          </w:p>
        </w:tc>
      </w:tr>
      <w:tr w:rsidR="00B61093">
        <w:tc>
          <w:tcPr>
            <w:tcW w:w="2396" w:type="dxa"/>
            <w:vMerge/>
            <w:vAlign w:val="center"/>
          </w:tcPr>
          <w:p w:rsidR="00B61093" w:rsidRDefault="00B61093">
            <w:pPr>
              <w:widowControl w:val="0"/>
              <w:pBdr>
                <w:top w:val="nil"/>
                <w:left w:val="nil"/>
                <w:bottom w:val="nil"/>
                <w:right w:val="nil"/>
                <w:between w:val="nil"/>
              </w:pBdr>
              <w:spacing w:line="276" w:lineRule="auto"/>
              <w:rPr>
                <w:b/>
              </w:rPr>
            </w:pPr>
          </w:p>
        </w:tc>
        <w:tc>
          <w:tcPr>
            <w:tcW w:w="2501" w:type="dxa"/>
          </w:tcPr>
          <w:p w:rsidR="00B61093" w:rsidRDefault="00A00F2F">
            <w:hyperlink w:anchor="2grqrue">
              <w:r w:rsidR="00722250">
                <w:rPr>
                  <w:i/>
                  <w:color w:val="0000FF"/>
                  <w:u w:val="single"/>
                </w:rPr>
                <w:t>Technology</w:t>
              </w:r>
            </w:hyperlink>
          </w:p>
        </w:tc>
        <w:tc>
          <w:tcPr>
            <w:tcW w:w="5883" w:type="dxa"/>
            <w:gridSpan w:val="4"/>
          </w:tcPr>
          <w:p w:rsidR="00B61093" w:rsidRDefault="00722250">
            <w:pPr>
              <w:rPr>
                <w:b/>
              </w:rPr>
            </w:pPr>
            <w:r>
              <w:rPr>
                <w:b/>
              </w:rPr>
              <w:t>No impact.</w:t>
            </w:r>
          </w:p>
        </w:tc>
      </w:tr>
      <w:tr w:rsidR="00B61093">
        <w:tc>
          <w:tcPr>
            <w:tcW w:w="2396" w:type="dxa"/>
            <w:vMerge/>
            <w:vAlign w:val="center"/>
          </w:tcPr>
          <w:p w:rsidR="00B61093" w:rsidRDefault="00B61093">
            <w:pPr>
              <w:widowControl w:val="0"/>
              <w:pBdr>
                <w:top w:val="nil"/>
                <w:left w:val="nil"/>
                <w:bottom w:val="nil"/>
                <w:right w:val="nil"/>
                <w:between w:val="nil"/>
              </w:pBdr>
              <w:spacing w:line="276" w:lineRule="auto"/>
              <w:rPr>
                <w:b/>
              </w:rPr>
            </w:pPr>
          </w:p>
        </w:tc>
        <w:tc>
          <w:tcPr>
            <w:tcW w:w="2501" w:type="dxa"/>
          </w:tcPr>
          <w:p w:rsidR="00B61093" w:rsidRDefault="00A00F2F">
            <w:pPr>
              <w:rPr>
                <w:i/>
              </w:rPr>
            </w:pPr>
            <w:hyperlink w:anchor="vx1227">
              <w:r w:rsidR="00722250">
                <w:rPr>
                  <w:i/>
                  <w:color w:val="0000FF"/>
                  <w:u w:val="single"/>
                </w:rPr>
                <w:t>Facilities</w:t>
              </w:r>
            </w:hyperlink>
            <w:r w:rsidR="00722250">
              <w:t>:</w:t>
            </w:r>
          </w:p>
        </w:tc>
        <w:tc>
          <w:tcPr>
            <w:tcW w:w="5883" w:type="dxa"/>
            <w:gridSpan w:val="4"/>
          </w:tcPr>
          <w:p w:rsidR="00B61093" w:rsidRDefault="00722250">
            <w:pPr>
              <w:rPr>
                <w:b/>
              </w:rPr>
            </w:pPr>
            <w:r>
              <w:rPr>
                <w:b/>
              </w:rPr>
              <w:t>No impact.</w:t>
            </w:r>
          </w:p>
        </w:tc>
      </w:tr>
      <w:tr w:rsidR="00B61093">
        <w:tc>
          <w:tcPr>
            <w:tcW w:w="2396" w:type="dxa"/>
            <w:vAlign w:val="center"/>
          </w:tcPr>
          <w:p w:rsidR="00B61093" w:rsidRDefault="00722250">
            <w:r>
              <w:lastRenderedPageBreak/>
              <w:t xml:space="preserve">A.8. </w:t>
            </w:r>
            <w:hyperlink w:anchor="26in1rg">
              <w:r>
                <w:rPr>
                  <w:color w:val="0000FF"/>
                  <w:u w:val="single"/>
                </w:rPr>
                <w:t>Semester effective</w:t>
              </w:r>
            </w:hyperlink>
          </w:p>
        </w:tc>
        <w:tc>
          <w:tcPr>
            <w:tcW w:w="2501" w:type="dxa"/>
          </w:tcPr>
          <w:p w:rsidR="00B61093" w:rsidRDefault="00722250">
            <w:pPr>
              <w:rPr>
                <w:b/>
              </w:rPr>
            </w:pPr>
            <w:bookmarkStart w:id="8" w:name="3rdcrjn" w:colFirst="0" w:colLast="0"/>
            <w:bookmarkEnd w:id="8"/>
            <w:r>
              <w:rPr>
                <w:b/>
              </w:rPr>
              <w:t>Fall 2019</w:t>
            </w:r>
          </w:p>
          <w:p w:rsidR="00B61093" w:rsidRDefault="00B61093">
            <w:pPr>
              <w:rPr>
                <w:b/>
              </w:rPr>
            </w:pPr>
          </w:p>
        </w:tc>
        <w:tc>
          <w:tcPr>
            <w:tcW w:w="2960" w:type="dxa"/>
            <w:gridSpan w:val="2"/>
          </w:tcPr>
          <w:p w:rsidR="00B61093" w:rsidRDefault="00722250">
            <w:pPr>
              <w:rPr>
                <w:b/>
              </w:rPr>
            </w:pPr>
            <w:r>
              <w:rPr>
                <w:b/>
              </w:rPr>
              <w:t xml:space="preserve"> </w:t>
            </w:r>
            <w:r>
              <w:t xml:space="preserve">A.9. </w:t>
            </w:r>
            <w:hyperlink w:anchor="26in1rg">
              <w:r>
                <w:rPr>
                  <w:color w:val="0000FF"/>
                  <w:u w:val="single"/>
                </w:rPr>
                <w:t>Rationale if sooner than next Fall</w:t>
              </w:r>
            </w:hyperlink>
          </w:p>
        </w:tc>
        <w:tc>
          <w:tcPr>
            <w:tcW w:w="2923" w:type="dxa"/>
            <w:gridSpan w:val="2"/>
          </w:tcPr>
          <w:p w:rsidR="00B61093" w:rsidRDefault="00B61093">
            <w:pPr>
              <w:rPr>
                <w:b/>
              </w:rPr>
            </w:pPr>
            <w:bookmarkStart w:id="9" w:name="26in1rg" w:colFirst="0" w:colLast="0"/>
            <w:bookmarkEnd w:id="9"/>
          </w:p>
        </w:tc>
      </w:tr>
      <w:tr w:rsidR="00B61093">
        <w:tc>
          <w:tcPr>
            <w:tcW w:w="10780" w:type="dxa"/>
            <w:gridSpan w:val="6"/>
            <w:vAlign w:val="center"/>
          </w:tcPr>
          <w:p w:rsidR="00B61093" w:rsidRDefault="00722250">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rsidR="00B61093" w:rsidRDefault="00B61093"/>
    <w:p w:rsidR="00B61093" w:rsidRDefault="00722250">
      <w:pPr>
        <w:rPr>
          <w:b/>
          <w:sz w:val="20"/>
          <w:szCs w:val="20"/>
        </w:rPr>
      </w:pPr>
      <w:r>
        <w:t xml:space="preserve">B.  </w:t>
      </w:r>
      <w:hyperlink w:anchor="3fwokq0">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075"/>
        <w:gridCol w:w="4605"/>
      </w:tblGrid>
      <w:tr w:rsidR="00B61093">
        <w:tc>
          <w:tcPr>
            <w:tcW w:w="3100" w:type="dxa"/>
            <w:shd w:val="clear" w:color="auto" w:fill="FABF8F"/>
            <w:vAlign w:val="center"/>
          </w:tcPr>
          <w:p w:rsidR="00B61093" w:rsidRDefault="00B61093">
            <w:pPr>
              <w:pStyle w:val="Heading5"/>
              <w:keepNext/>
              <w:spacing w:before="0" w:after="0" w:line="240" w:lineRule="auto"/>
            </w:pPr>
          </w:p>
        </w:tc>
        <w:tc>
          <w:tcPr>
            <w:tcW w:w="3075" w:type="dxa"/>
          </w:tcPr>
          <w:p w:rsidR="00B61093" w:rsidRDefault="00722250">
            <w:pPr>
              <w:pStyle w:val="Heading5"/>
              <w:keepNext/>
              <w:spacing w:before="0" w:after="0" w:line="240" w:lineRule="auto"/>
              <w:jc w:val="center"/>
            </w:pPr>
            <w:r>
              <w:t>Old (</w:t>
            </w:r>
            <w:hyperlink w:anchor="1v1yuxt">
              <w:r>
                <w:rPr>
                  <w:color w:val="0000FF"/>
                  <w:u w:val="single"/>
                </w:rPr>
                <w:t>for revisions only</w:t>
              </w:r>
            </w:hyperlink>
            <w:r>
              <w:t>)</w:t>
            </w:r>
          </w:p>
          <w:p w:rsidR="00B61093" w:rsidRDefault="00722250">
            <w:r>
              <w:t>Only include information that is being revised, otherwise leave blank (delete provided examples that do not apply)</w:t>
            </w:r>
          </w:p>
        </w:tc>
        <w:tc>
          <w:tcPr>
            <w:tcW w:w="4605" w:type="dxa"/>
          </w:tcPr>
          <w:p w:rsidR="00B61093" w:rsidRDefault="00722250">
            <w:pPr>
              <w:pStyle w:val="Heading5"/>
              <w:keepNext/>
              <w:spacing w:before="0" w:after="0" w:line="240" w:lineRule="auto"/>
              <w:jc w:val="center"/>
            </w:pPr>
            <w:r>
              <w:t>New</w:t>
            </w:r>
          </w:p>
          <w:p w:rsidR="00B61093" w:rsidRDefault="00722250">
            <w:r>
              <w:t>Examples are provided for guidance, delete the ones that do not apply</w:t>
            </w:r>
          </w:p>
        </w:tc>
      </w:tr>
      <w:tr w:rsidR="00B61093">
        <w:tc>
          <w:tcPr>
            <w:tcW w:w="3100" w:type="dxa"/>
            <w:vAlign w:val="center"/>
          </w:tcPr>
          <w:p w:rsidR="00B61093" w:rsidRDefault="00722250">
            <w:pPr>
              <w:spacing w:line="240" w:lineRule="auto"/>
            </w:pPr>
            <w:r>
              <w:t xml:space="preserve">B.1. </w:t>
            </w:r>
            <w:hyperlink w:anchor="lnxbz9">
              <w:r>
                <w:rPr>
                  <w:color w:val="0000FF"/>
                  <w:u w:val="single"/>
                </w:rPr>
                <w:t>Course prefix and number</w:t>
              </w:r>
            </w:hyperlink>
            <w:r>
              <w:t xml:space="preserve"> </w:t>
            </w:r>
          </w:p>
        </w:tc>
        <w:tc>
          <w:tcPr>
            <w:tcW w:w="3075" w:type="dxa"/>
          </w:tcPr>
          <w:p w:rsidR="00B61093" w:rsidRDefault="00B61093">
            <w:pPr>
              <w:spacing w:line="240" w:lineRule="auto"/>
              <w:rPr>
                <w:b/>
              </w:rPr>
            </w:pPr>
            <w:bookmarkStart w:id="10" w:name="lnxbz9" w:colFirst="0" w:colLast="0"/>
            <w:bookmarkEnd w:id="10"/>
          </w:p>
        </w:tc>
        <w:tc>
          <w:tcPr>
            <w:tcW w:w="4605" w:type="dxa"/>
          </w:tcPr>
          <w:p w:rsidR="00B61093" w:rsidRDefault="00722250">
            <w:pPr>
              <w:spacing w:line="240" w:lineRule="auto"/>
              <w:rPr>
                <w:b/>
              </w:rPr>
            </w:pPr>
            <w:r>
              <w:rPr>
                <w:b/>
              </w:rPr>
              <w:t>HIST 108</w:t>
            </w:r>
          </w:p>
        </w:tc>
      </w:tr>
      <w:tr w:rsidR="00B61093">
        <w:tc>
          <w:tcPr>
            <w:tcW w:w="3100" w:type="dxa"/>
            <w:vAlign w:val="center"/>
          </w:tcPr>
          <w:p w:rsidR="00B61093" w:rsidRDefault="00722250">
            <w:pPr>
              <w:spacing w:line="240" w:lineRule="auto"/>
            </w:pPr>
            <w:r>
              <w:t>B.2. Cross listing number if any</w:t>
            </w:r>
          </w:p>
        </w:tc>
        <w:tc>
          <w:tcPr>
            <w:tcW w:w="3075" w:type="dxa"/>
          </w:tcPr>
          <w:p w:rsidR="00B61093" w:rsidRDefault="00B61093">
            <w:pPr>
              <w:spacing w:line="240" w:lineRule="auto"/>
              <w:rPr>
                <w:b/>
              </w:rPr>
            </w:pPr>
          </w:p>
        </w:tc>
        <w:tc>
          <w:tcPr>
            <w:tcW w:w="4605" w:type="dxa"/>
          </w:tcPr>
          <w:p w:rsidR="00B61093" w:rsidRDefault="00B61093">
            <w:pPr>
              <w:spacing w:line="240" w:lineRule="auto"/>
              <w:rPr>
                <w:b/>
              </w:rPr>
            </w:pPr>
          </w:p>
        </w:tc>
      </w:tr>
      <w:tr w:rsidR="00B61093">
        <w:tc>
          <w:tcPr>
            <w:tcW w:w="3100" w:type="dxa"/>
            <w:vAlign w:val="center"/>
          </w:tcPr>
          <w:p w:rsidR="00B61093" w:rsidRDefault="00722250">
            <w:pPr>
              <w:spacing w:line="240" w:lineRule="auto"/>
            </w:pPr>
            <w:r>
              <w:t xml:space="preserve">B.3. </w:t>
            </w:r>
            <w:hyperlink w:anchor="35nkun2">
              <w:r>
                <w:rPr>
                  <w:color w:val="0000FF"/>
                  <w:u w:val="single"/>
                </w:rPr>
                <w:t>Course title</w:t>
              </w:r>
            </w:hyperlink>
            <w:r>
              <w:t xml:space="preserve"> </w:t>
            </w:r>
          </w:p>
        </w:tc>
        <w:tc>
          <w:tcPr>
            <w:tcW w:w="3075" w:type="dxa"/>
          </w:tcPr>
          <w:p w:rsidR="00B61093" w:rsidRDefault="00B61093">
            <w:pPr>
              <w:spacing w:line="240" w:lineRule="auto"/>
              <w:rPr>
                <w:b/>
              </w:rPr>
            </w:pPr>
            <w:bookmarkStart w:id="11" w:name="35nkun2" w:colFirst="0" w:colLast="0"/>
            <w:bookmarkEnd w:id="11"/>
          </w:p>
        </w:tc>
        <w:tc>
          <w:tcPr>
            <w:tcW w:w="4605" w:type="dxa"/>
          </w:tcPr>
          <w:p w:rsidR="00B61093" w:rsidRDefault="00722250">
            <w:pPr>
              <w:spacing w:line="240" w:lineRule="auto"/>
              <w:rPr>
                <w:b/>
              </w:rPr>
            </w:pPr>
            <w:r>
              <w:rPr>
                <w:b/>
              </w:rPr>
              <w:t>History of Science and Medicine</w:t>
            </w:r>
          </w:p>
        </w:tc>
      </w:tr>
      <w:tr w:rsidR="00B61093">
        <w:tc>
          <w:tcPr>
            <w:tcW w:w="3100" w:type="dxa"/>
            <w:vAlign w:val="center"/>
          </w:tcPr>
          <w:p w:rsidR="00B61093" w:rsidRDefault="00722250">
            <w:pPr>
              <w:spacing w:line="240" w:lineRule="auto"/>
            </w:pPr>
            <w:r>
              <w:t xml:space="preserve">B.4. </w:t>
            </w:r>
            <w:hyperlink w:anchor="1ksv4uv">
              <w:r>
                <w:rPr>
                  <w:color w:val="0000FF"/>
                  <w:u w:val="single"/>
                </w:rPr>
                <w:t>Course description</w:t>
              </w:r>
            </w:hyperlink>
            <w:r>
              <w:t xml:space="preserve"> </w:t>
            </w:r>
          </w:p>
        </w:tc>
        <w:tc>
          <w:tcPr>
            <w:tcW w:w="3075" w:type="dxa"/>
          </w:tcPr>
          <w:p w:rsidR="00B61093" w:rsidRDefault="00B61093">
            <w:pPr>
              <w:tabs>
                <w:tab w:val="left" w:pos="690"/>
              </w:tabs>
              <w:spacing w:line="240" w:lineRule="auto"/>
              <w:rPr>
                <w:b/>
              </w:rPr>
            </w:pPr>
            <w:bookmarkStart w:id="12" w:name="1ksv4uv" w:colFirst="0" w:colLast="0"/>
            <w:bookmarkEnd w:id="12"/>
          </w:p>
        </w:tc>
        <w:tc>
          <w:tcPr>
            <w:tcW w:w="4605" w:type="dxa"/>
          </w:tcPr>
          <w:p w:rsidR="00B61093" w:rsidRDefault="00311EBA">
            <w:pPr>
              <w:spacing w:line="240" w:lineRule="auto"/>
              <w:rPr>
                <w:b/>
              </w:rPr>
            </w:pPr>
            <w:r>
              <w:t>Students examine the ideas and practices that define science and medicine</w:t>
            </w:r>
            <w:r w:rsidR="003B3ED4">
              <w:t xml:space="preserve"> </w:t>
            </w:r>
            <w:r>
              <w:t>and their relationships with society and culture, using examples from a variety of historical contexts</w:t>
            </w:r>
          </w:p>
          <w:p w:rsidR="00B61093" w:rsidRDefault="00B61093">
            <w:pPr>
              <w:spacing w:line="240" w:lineRule="auto"/>
              <w:rPr>
                <w:b/>
              </w:rPr>
            </w:pPr>
          </w:p>
        </w:tc>
      </w:tr>
      <w:tr w:rsidR="00B61093">
        <w:tc>
          <w:tcPr>
            <w:tcW w:w="3100" w:type="dxa"/>
            <w:vAlign w:val="center"/>
          </w:tcPr>
          <w:p w:rsidR="00B61093" w:rsidRDefault="00722250">
            <w:pPr>
              <w:spacing w:line="240" w:lineRule="auto"/>
            </w:pPr>
            <w:r>
              <w:t xml:space="preserve">B.5. </w:t>
            </w:r>
            <w:hyperlink w:anchor="44sinio">
              <w:r>
                <w:rPr>
                  <w:color w:val="0000FF"/>
                  <w:u w:val="single"/>
                </w:rPr>
                <w:t>Prerequisite(s)</w:t>
              </w:r>
            </w:hyperlink>
          </w:p>
        </w:tc>
        <w:tc>
          <w:tcPr>
            <w:tcW w:w="3075" w:type="dxa"/>
          </w:tcPr>
          <w:p w:rsidR="00B61093" w:rsidRDefault="00B61093">
            <w:pPr>
              <w:spacing w:line="240" w:lineRule="auto"/>
              <w:rPr>
                <w:b/>
              </w:rPr>
            </w:pPr>
            <w:bookmarkStart w:id="13" w:name="44sinio" w:colFirst="0" w:colLast="0"/>
            <w:bookmarkEnd w:id="13"/>
          </w:p>
        </w:tc>
        <w:tc>
          <w:tcPr>
            <w:tcW w:w="4605" w:type="dxa"/>
          </w:tcPr>
          <w:p w:rsidR="00B61093" w:rsidRDefault="00311EBA">
            <w:pPr>
              <w:spacing w:line="240" w:lineRule="auto"/>
              <w:rPr>
                <w:b/>
              </w:rPr>
            </w:pPr>
            <w:r>
              <w:rPr>
                <w:b/>
              </w:rPr>
              <w:t>None</w:t>
            </w:r>
          </w:p>
        </w:tc>
      </w:tr>
      <w:tr w:rsidR="00B61093">
        <w:tc>
          <w:tcPr>
            <w:tcW w:w="3100" w:type="dxa"/>
            <w:vAlign w:val="center"/>
          </w:tcPr>
          <w:p w:rsidR="00B61093" w:rsidRDefault="00722250">
            <w:pPr>
              <w:spacing w:line="240" w:lineRule="auto"/>
            </w:pPr>
            <w:r>
              <w:t xml:space="preserve">B.6. </w:t>
            </w:r>
            <w:hyperlink w:anchor="4f1mdlm">
              <w:r>
                <w:rPr>
                  <w:color w:val="0000FF"/>
                  <w:u w:val="single"/>
                </w:rPr>
                <w:t>Offered</w:t>
              </w:r>
            </w:hyperlink>
          </w:p>
        </w:tc>
        <w:tc>
          <w:tcPr>
            <w:tcW w:w="3075" w:type="dxa"/>
          </w:tcPr>
          <w:p w:rsidR="00B61093" w:rsidRDefault="00B61093">
            <w:pPr>
              <w:spacing w:line="240" w:lineRule="auto"/>
              <w:rPr>
                <w:b/>
                <w:sz w:val="20"/>
                <w:szCs w:val="20"/>
              </w:rPr>
            </w:pPr>
          </w:p>
        </w:tc>
        <w:tc>
          <w:tcPr>
            <w:tcW w:w="4605" w:type="dxa"/>
          </w:tcPr>
          <w:p w:rsidR="00B61093" w:rsidRDefault="00311EBA">
            <w:pPr>
              <w:spacing w:line="240" w:lineRule="auto"/>
              <w:rPr>
                <w:b/>
                <w:sz w:val="20"/>
                <w:szCs w:val="20"/>
              </w:rPr>
            </w:pPr>
            <w:r>
              <w:rPr>
                <w:b/>
                <w:sz w:val="20"/>
                <w:szCs w:val="20"/>
              </w:rPr>
              <w:t>Annually</w:t>
            </w:r>
          </w:p>
        </w:tc>
      </w:tr>
      <w:tr w:rsidR="00B61093">
        <w:tc>
          <w:tcPr>
            <w:tcW w:w="3100" w:type="dxa"/>
            <w:vAlign w:val="center"/>
          </w:tcPr>
          <w:p w:rsidR="00B61093" w:rsidRDefault="00722250">
            <w:pPr>
              <w:spacing w:line="240" w:lineRule="auto"/>
            </w:pPr>
            <w:r>
              <w:t xml:space="preserve">B.7. </w:t>
            </w:r>
            <w:hyperlink w:anchor="z337ya">
              <w:r>
                <w:rPr>
                  <w:color w:val="0000FF"/>
                  <w:u w:val="single"/>
                </w:rPr>
                <w:t>Contact hours</w:t>
              </w:r>
            </w:hyperlink>
            <w:r>
              <w:t xml:space="preserve"> </w:t>
            </w:r>
          </w:p>
        </w:tc>
        <w:tc>
          <w:tcPr>
            <w:tcW w:w="3075" w:type="dxa"/>
          </w:tcPr>
          <w:p w:rsidR="00B61093" w:rsidRDefault="00B61093">
            <w:pPr>
              <w:spacing w:line="240" w:lineRule="auto"/>
              <w:rPr>
                <w:b/>
              </w:rPr>
            </w:pPr>
            <w:bookmarkStart w:id="14" w:name="z337ya" w:colFirst="0" w:colLast="0"/>
            <w:bookmarkEnd w:id="14"/>
          </w:p>
        </w:tc>
        <w:tc>
          <w:tcPr>
            <w:tcW w:w="4605" w:type="dxa"/>
          </w:tcPr>
          <w:p w:rsidR="00B61093" w:rsidRDefault="00722250">
            <w:pPr>
              <w:spacing w:line="240" w:lineRule="auto"/>
              <w:rPr>
                <w:b/>
              </w:rPr>
            </w:pPr>
            <w:r>
              <w:rPr>
                <w:b/>
              </w:rPr>
              <w:t>4</w:t>
            </w:r>
          </w:p>
        </w:tc>
      </w:tr>
      <w:tr w:rsidR="00B61093">
        <w:tc>
          <w:tcPr>
            <w:tcW w:w="3100" w:type="dxa"/>
            <w:vAlign w:val="center"/>
          </w:tcPr>
          <w:p w:rsidR="00B61093" w:rsidRDefault="00722250">
            <w:pPr>
              <w:spacing w:line="240" w:lineRule="auto"/>
            </w:pPr>
            <w:r>
              <w:t xml:space="preserve">B.8. </w:t>
            </w:r>
            <w:hyperlink w:anchor="3j2qqm3">
              <w:r>
                <w:rPr>
                  <w:color w:val="0000FF"/>
                  <w:u w:val="single"/>
                </w:rPr>
                <w:t>Credit hours</w:t>
              </w:r>
            </w:hyperlink>
          </w:p>
        </w:tc>
        <w:tc>
          <w:tcPr>
            <w:tcW w:w="3075" w:type="dxa"/>
          </w:tcPr>
          <w:p w:rsidR="00B61093" w:rsidRDefault="00B61093">
            <w:pPr>
              <w:spacing w:line="240" w:lineRule="auto"/>
              <w:rPr>
                <w:b/>
              </w:rPr>
            </w:pPr>
            <w:bookmarkStart w:id="15" w:name="3j2qqm3" w:colFirst="0" w:colLast="0"/>
            <w:bookmarkEnd w:id="15"/>
          </w:p>
        </w:tc>
        <w:tc>
          <w:tcPr>
            <w:tcW w:w="4605" w:type="dxa"/>
          </w:tcPr>
          <w:p w:rsidR="00B61093" w:rsidRDefault="00722250">
            <w:pPr>
              <w:spacing w:line="240" w:lineRule="auto"/>
              <w:rPr>
                <w:b/>
              </w:rPr>
            </w:pPr>
            <w:r>
              <w:rPr>
                <w:b/>
              </w:rPr>
              <w:t>4</w:t>
            </w:r>
          </w:p>
        </w:tc>
      </w:tr>
      <w:tr w:rsidR="00B61093">
        <w:tc>
          <w:tcPr>
            <w:tcW w:w="3100" w:type="dxa"/>
            <w:vAlign w:val="center"/>
          </w:tcPr>
          <w:p w:rsidR="00B61093" w:rsidRDefault="00722250">
            <w:pPr>
              <w:spacing w:line="240" w:lineRule="auto"/>
            </w:pPr>
            <w:r>
              <w:t>B.9.</w:t>
            </w:r>
            <w:hyperlink w:anchor="1y810tw">
              <w:r>
                <w:rPr>
                  <w:color w:val="0000FF"/>
                  <w:u w:val="single"/>
                </w:rPr>
                <w:t xml:space="preserve"> Justify differences if any</w:t>
              </w:r>
            </w:hyperlink>
          </w:p>
        </w:tc>
        <w:tc>
          <w:tcPr>
            <w:tcW w:w="7680" w:type="dxa"/>
            <w:gridSpan w:val="2"/>
          </w:tcPr>
          <w:p w:rsidR="00B61093" w:rsidRDefault="00B61093">
            <w:pPr>
              <w:spacing w:line="240" w:lineRule="auto"/>
              <w:rPr>
                <w:rFonts w:ascii="Calibri" w:eastAsia="Calibri" w:hAnsi="Calibri" w:cs="Calibri"/>
                <w:b/>
                <w:smallCaps/>
                <w:sz w:val="24"/>
                <w:szCs w:val="24"/>
              </w:rPr>
            </w:pPr>
            <w:bookmarkStart w:id="16" w:name="1y810tw" w:colFirst="0" w:colLast="0"/>
            <w:bookmarkEnd w:id="16"/>
          </w:p>
        </w:tc>
      </w:tr>
      <w:tr w:rsidR="00B61093">
        <w:tc>
          <w:tcPr>
            <w:tcW w:w="3100" w:type="dxa"/>
            <w:vAlign w:val="center"/>
          </w:tcPr>
          <w:p w:rsidR="00B61093" w:rsidRDefault="00722250">
            <w:pPr>
              <w:spacing w:line="240" w:lineRule="auto"/>
            </w:pPr>
            <w:r>
              <w:t xml:space="preserve">B.10. </w:t>
            </w:r>
            <w:hyperlink w:anchor="19c6y18">
              <w:r>
                <w:rPr>
                  <w:color w:val="0000FF"/>
                  <w:u w:val="single"/>
                </w:rPr>
                <w:t>Grading system</w:t>
              </w:r>
            </w:hyperlink>
            <w:r>
              <w:t xml:space="preserve"> </w:t>
            </w:r>
          </w:p>
        </w:tc>
        <w:tc>
          <w:tcPr>
            <w:tcW w:w="3075" w:type="dxa"/>
          </w:tcPr>
          <w:p w:rsidR="00B61093" w:rsidRDefault="00B61093">
            <w:pPr>
              <w:spacing w:line="240" w:lineRule="auto"/>
              <w:rPr>
                <w:b/>
                <w:sz w:val="20"/>
                <w:szCs w:val="20"/>
              </w:rPr>
            </w:pPr>
          </w:p>
        </w:tc>
        <w:tc>
          <w:tcPr>
            <w:tcW w:w="4605" w:type="dxa"/>
          </w:tcPr>
          <w:p w:rsidR="00B61093" w:rsidRDefault="00722250">
            <w:pPr>
              <w:spacing w:line="240" w:lineRule="auto"/>
              <w:rPr>
                <w:b/>
                <w:sz w:val="20"/>
                <w:szCs w:val="20"/>
              </w:rPr>
            </w:pPr>
            <w:r>
              <w:rPr>
                <w:b/>
                <w:sz w:val="20"/>
                <w:szCs w:val="20"/>
              </w:rPr>
              <w:t xml:space="preserve">Letter grade </w:t>
            </w:r>
          </w:p>
        </w:tc>
      </w:tr>
      <w:tr w:rsidR="00B61093">
        <w:tc>
          <w:tcPr>
            <w:tcW w:w="3100" w:type="dxa"/>
            <w:vAlign w:val="center"/>
          </w:tcPr>
          <w:p w:rsidR="00B61093" w:rsidRDefault="00722250">
            <w:pPr>
              <w:spacing w:line="240" w:lineRule="auto"/>
            </w:pPr>
            <w:r>
              <w:t xml:space="preserve">B.11. </w:t>
            </w:r>
            <w:hyperlink w:anchor="4i7ojhp">
              <w:r>
                <w:rPr>
                  <w:color w:val="0000FF"/>
                  <w:u w:val="single"/>
                </w:rPr>
                <w:t>Instructional methods</w:t>
              </w:r>
            </w:hyperlink>
          </w:p>
        </w:tc>
        <w:tc>
          <w:tcPr>
            <w:tcW w:w="3075" w:type="dxa"/>
          </w:tcPr>
          <w:p w:rsidR="00B61093" w:rsidRDefault="00B61093">
            <w:pPr>
              <w:spacing w:line="240" w:lineRule="auto"/>
              <w:rPr>
                <w:b/>
                <w:sz w:val="20"/>
                <w:szCs w:val="20"/>
              </w:rPr>
            </w:pPr>
          </w:p>
        </w:tc>
        <w:tc>
          <w:tcPr>
            <w:tcW w:w="4605" w:type="dxa"/>
          </w:tcPr>
          <w:p w:rsidR="00B61093" w:rsidRDefault="00311EBA">
            <w:pPr>
              <w:spacing w:line="240" w:lineRule="auto"/>
              <w:rPr>
                <w:b/>
                <w:sz w:val="20"/>
                <w:szCs w:val="20"/>
              </w:rPr>
            </w:pPr>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Small group |</w:t>
            </w:r>
            <w:r>
              <w:rPr>
                <w:b/>
                <w:sz w:val="20"/>
              </w:rPr>
              <w:t xml:space="preserve"> Hybrid</w:t>
            </w:r>
          </w:p>
        </w:tc>
      </w:tr>
      <w:tr w:rsidR="00B61093">
        <w:tc>
          <w:tcPr>
            <w:tcW w:w="3100" w:type="dxa"/>
            <w:vAlign w:val="center"/>
          </w:tcPr>
          <w:p w:rsidR="00B61093" w:rsidRDefault="00722250">
            <w:pPr>
              <w:spacing w:line="240" w:lineRule="auto"/>
            </w:pPr>
            <w:r>
              <w:t>B.12.</w:t>
            </w:r>
            <w:hyperlink w:anchor="2xcytpi">
              <w:r>
                <w:rPr>
                  <w:color w:val="0000FF"/>
                  <w:u w:val="single"/>
                </w:rPr>
                <w:t>Categories</w:t>
              </w:r>
            </w:hyperlink>
          </w:p>
        </w:tc>
        <w:tc>
          <w:tcPr>
            <w:tcW w:w="3075" w:type="dxa"/>
          </w:tcPr>
          <w:p w:rsidR="00B61093" w:rsidRDefault="00B61093">
            <w:pPr>
              <w:spacing w:line="240" w:lineRule="auto"/>
              <w:rPr>
                <w:b/>
                <w:sz w:val="20"/>
                <w:szCs w:val="20"/>
              </w:rPr>
            </w:pPr>
          </w:p>
        </w:tc>
        <w:tc>
          <w:tcPr>
            <w:tcW w:w="4605" w:type="dxa"/>
          </w:tcPr>
          <w:p w:rsidR="00B61093" w:rsidRDefault="00722250">
            <w:pPr>
              <w:spacing w:line="240" w:lineRule="auto"/>
              <w:rPr>
                <w:b/>
                <w:sz w:val="20"/>
                <w:szCs w:val="20"/>
              </w:rPr>
            </w:pPr>
            <w:r>
              <w:rPr>
                <w:b/>
                <w:sz w:val="20"/>
                <w:szCs w:val="20"/>
              </w:rPr>
              <w:t xml:space="preserve">Required for major </w:t>
            </w:r>
            <w:r>
              <w:rPr>
                <w:rFonts w:ascii="MS Mincho" w:eastAsia="MS Mincho" w:hAnsi="MS Mincho" w:cs="MS Mincho"/>
                <w:b/>
                <w:sz w:val="20"/>
                <w:szCs w:val="20"/>
              </w:rPr>
              <w:t xml:space="preserve">| </w:t>
            </w:r>
            <w:r>
              <w:rPr>
                <w:b/>
                <w:sz w:val="20"/>
                <w:szCs w:val="20"/>
              </w:rPr>
              <w:t xml:space="preserve">Free elective </w:t>
            </w:r>
            <w:r>
              <w:rPr>
                <w:rFonts w:ascii="MS Mincho" w:eastAsia="MS Mincho" w:hAnsi="MS Mincho" w:cs="MS Mincho"/>
                <w:b/>
                <w:sz w:val="20"/>
                <w:szCs w:val="20"/>
              </w:rPr>
              <w:t>|</w:t>
            </w:r>
            <w:r>
              <w:rPr>
                <w:b/>
                <w:sz w:val="20"/>
                <w:szCs w:val="20"/>
              </w:rPr>
              <w:t xml:space="preserve"> Required for Certification</w:t>
            </w:r>
          </w:p>
        </w:tc>
      </w:tr>
      <w:tr w:rsidR="00B61093">
        <w:tc>
          <w:tcPr>
            <w:tcW w:w="3100" w:type="dxa"/>
            <w:vAlign w:val="center"/>
          </w:tcPr>
          <w:p w:rsidR="00B61093" w:rsidRDefault="00722250">
            <w:pPr>
              <w:spacing w:line="240" w:lineRule="auto"/>
            </w:pPr>
            <w:r>
              <w:t>B.13. Is this an Honors course?</w:t>
            </w:r>
          </w:p>
        </w:tc>
        <w:tc>
          <w:tcPr>
            <w:tcW w:w="3075" w:type="dxa"/>
          </w:tcPr>
          <w:p w:rsidR="00B61093" w:rsidRDefault="00B61093">
            <w:pPr>
              <w:spacing w:line="240" w:lineRule="auto"/>
              <w:rPr>
                <w:b/>
              </w:rPr>
            </w:pPr>
          </w:p>
        </w:tc>
        <w:tc>
          <w:tcPr>
            <w:tcW w:w="4605" w:type="dxa"/>
          </w:tcPr>
          <w:p w:rsidR="00B61093" w:rsidRDefault="00722250">
            <w:pPr>
              <w:spacing w:line="240" w:lineRule="auto"/>
              <w:rPr>
                <w:b/>
              </w:rPr>
            </w:pPr>
            <w:r>
              <w:rPr>
                <w:b/>
              </w:rPr>
              <w:t>NO</w:t>
            </w:r>
          </w:p>
        </w:tc>
      </w:tr>
      <w:tr w:rsidR="00B61093">
        <w:tc>
          <w:tcPr>
            <w:tcW w:w="3100" w:type="dxa"/>
            <w:vAlign w:val="center"/>
          </w:tcPr>
          <w:p w:rsidR="00B61093" w:rsidRDefault="00722250">
            <w:pPr>
              <w:spacing w:line="240" w:lineRule="auto"/>
              <w:rPr>
                <w:color w:val="0000FF"/>
                <w:u w:val="single"/>
              </w:rPr>
            </w:pPr>
            <w:r>
              <w:t xml:space="preserve">B.14. </w:t>
            </w:r>
            <w:hyperlink w:anchor="1ci93xb">
              <w:r>
                <w:rPr>
                  <w:color w:val="0000FF"/>
                  <w:u w:val="single"/>
                </w:rPr>
                <w:t>General Education</w:t>
              </w:r>
            </w:hyperlink>
          </w:p>
          <w:p w:rsidR="00B61093" w:rsidRDefault="00722250">
            <w:pPr>
              <w:spacing w:line="240" w:lineRule="auto"/>
            </w:pPr>
            <w:r>
              <w:t>N.B. Connections must include at least 50% Standard Classroom instruction.</w:t>
            </w:r>
          </w:p>
        </w:tc>
        <w:tc>
          <w:tcPr>
            <w:tcW w:w="3075" w:type="dxa"/>
          </w:tcPr>
          <w:p w:rsidR="00B61093" w:rsidRDefault="00B61093">
            <w:pPr>
              <w:rPr>
                <w:b/>
                <w:sz w:val="20"/>
                <w:szCs w:val="20"/>
              </w:rPr>
            </w:pPr>
          </w:p>
        </w:tc>
        <w:tc>
          <w:tcPr>
            <w:tcW w:w="4605" w:type="dxa"/>
          </w:tcPr>
          <w:p w:rsidR="00B61093" w:rsidRDefault="00722250">
            <w:pPr>
              <w:spacing w:line="240" w:lineRule="auto"/>
              <w:rPr>
                <w:rFonts w:ascii="MS Mincho" w:eastAsia="MS Mincho" w:hAnsi="MS Mincho" w:cs="MS Mincho"/>
                <w:b/>
                <w:sz w:val="20"/>
                <w:szCs w:val="20"/>
              </w:rPr>
            </w:pPr>
            <w:r>
              <w:rPr>
                <w:b/>
              </w:rPr>
              <w:t xml:space="preserve">YES  </w:t>
            </w:r>
          </w:p>
          <w:p w:rsidR="00B61093" w:rsidRDefault="00722250">
            <w:pPr>
              <w:spacing w:line="240" w:lineRule="auto"/>
              <w:rPr>
                <w:b/>
                <w:sz w:val="20"/>
                <w:szCs w:val="20"/>
              </w:rPr>
            </w:pPr>
            <w:r>
              <w:rPr>
                <w:b/>
              </w:rPr>
              <w:t>category: History</w:t>
            </w:r>
          </w:p>
        </w:tc>
      </w:tr>
      <w:tr w:rsidR="00B61093">
        <w:tc>
          <w:tcPr>
            <w:tcW w:w="3100" w:type="dxa"/>
            <w:vAlign w:val="center"/>
          </w:tcPr>
          <w:p w:rsidR="00B61093" w:rsidRDefault="00722250">
            <w:pPr>
              <w:spacing w:line="240" w:lineRule="auto"/>
            </w:pPr>
            <w:r>
              <w:t xml:space="preserve">B.15. </w:t>
            </w:r>
            <w:hyperlink w:anchor="3whwml4">
              <w:r>
                <w:rPr>
                  <w:color w:val="0000FF"/>
                  <w:u w:val="single"/>
                </w:rPr>
                <w:t>How will student performance be evaluated?</w:t>
              </w:r>
            </w:hyperlink>
          </w:p>
        </w:tc>
        <w:tc>
          <w:tcPr>
            <w:tcW w:w="3075" w:type="dxa"/>
          </w:tcPr>
          <w:p w:rsidR="00B61093" w:rsidRDefault="00B61093">
            <w:pPr>
              <w:spacing w:line="240" w:lineRule="auto"/>
              <w:rPr>
                <w:rFonts w:ascii="MS Mincho" w:eastAsia="MS Mincho" w:hAnsi="MS Mincho" w:cs="MS Mincho"/>
                <w:b/>
                <w:sz w:val="20"/>
                <w:szCs w:val="20"/>
              </w:rPr>
            </w:pPr>
          </w:p>
          <w:p w:rsidR="00B61093" w:rsidRDefault="00B61093">
            <w:pPr>
              <w:spacing w:line="240" w:lineRule="auto"/>
              <w:rPr>
                <w:b/>
                <w:sz w:val="20"/>
                <w:szCs w:val="20"/>
              </w:rPr>
            </w:pPr>
          </w:p>
        </w:tc>
        <w:tc>
          <w:tcPr>
            <w:tcW w:w="4605" w:type="dxa"/>
          </w:tcPr>
          <w:p w:rsidR="00B61093" w:rsidRDefault="00722250">
            <w:pPr>
              <w:spacing w:line="240" w:lineRule="auto"/>
              <w:rPr>
                <w:rFonts w:ascii="MS Mincho" w:eastAsia="MS Mincho" w:hAnsi="MS Mincho" w:cs="MS Mincho"/>
                <w:b/>
                <w:sz w:val="20"/>
                <w:szCs w:val="20"/>
              </w:rPr>
            </w:pPr>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Exams  </w:t>
            </w:r>
            <w:r>
              <w:rPr>
                <w:rFonts w:ascii="MS Mincho" w:eastAsia="MS Mincho" w:hAnsi="MS Mincho" w:cs="MS Mincho"/>
                <w:b/>
                <w:sz w:val="20"/>
                <w:szCs w:val="20"/>
              </w:rPr>
              <w:t xml:space="preserve">| </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rsidR="00B61093" w:rsidRDefault="00722250">
            <w:pPr>
              <w:spacing w:line="240" w:lineRule="auto"/>
              <w:rPr>
                <w:b/>
                <w:sz w:val="20"/>
                <w:szCs w:val="20"/>
              </w:rPr>
            </w:pPr>
            <w:r>
              <w:rPr>
                <w:b/>
                <w:sz w:val="20"/>
                <w:szCs w:val="20"/>
              </w:rPr>
              <w:t xml:space="preserve">Class </w:t>
            </w:r>
            <w:proofErr w:type="gramStart"/>
            <w:r>
              <w:rPr>
                <w:b/>
                <w:sz w:val="20"/>
                <w:szCs w:val="20"/>
              </w:rPr>
              <w:t xml:space="preserve">Work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Quizzes |Projects </w:t>
            </w:r>
          </w:p>
          <w:p w:rsidR="00B61093" w:rsidRDefault="00B61093">
            <w:pPr>
              <w:spacing w:line="240" w:lineRule="auto"/>
              <w:rPr>
                <w:b/>
                <w:sz w:val="20"/>
                <w:szCs w:val="20"/>
              </w:rPr>
            </w:pPr>
          </w:p>
        </w:tc>
      </w:tr>
      <w:tr w:rsidR="00B61093">
        <w:tc>
          <w:tcPr>
            <w:tcW w:w="3100" w:type="dxa"/>
            <w:vAlign w:val="center"/>
          </w:tcPr>
          <w:p w:rsidR="00B61093" w:rsidRDefault="00722250">
            <w:pPr>
              <w:spacing w:line="240" w:lineRule="auto"/>
            </w:pPr>
            <w:r>
              <w:t xml:space="preserve">B.16. </w:t>
            </w:r>
            <w:hyperlink w:anchor="2bn6wsx">
              <w:r>
                <w:rPr>
                  <w:color w:val="0000FF"/>
                  <w:u w:val="single"/>
                </w:rPr>
                <w:t>Redundancy statement</w:t>
              </w:r>
            </w:hyperlink>
          </w:p>
        </w:tc>
        <w:tc>
          <w:tcPr>
            <w:tcW w:w="3075" w:type="dxa"/>
          </w:tcPr>
          <w:p w:rsidR="00B61093" w:rsidRDefault="00B61093">
            <w:pPr>
              <w:spacing w:line="240" w:lineRule="auto"/>
              <w:rPr>
                <w:b/>
              </w:rPr>
            </w:pPr>
            <w:bookmarkStart w:id="17" w:name="2bn6wsx" w:colFirst="0" w:colLast="0"/>
            <w:bookmarkEnd w:id="17"/>
          </w:p>
        </w:tc>
        <w:tc>
          <w:tcPr>
            <w:tcW w:w="4605" w:type="dxa"/>
          </w:tcPr>
          <w:p w:rsidR="00B61093" w:rsidRDefault="00B61093">
            <w:pPr>
              <w:spacing w:line="240" w:lineRule="auto"/>
              <w:rPr>
                <w:b/>
              </w:rPr>
            </w:pPr>
          </w:p>
        </w:tc>
      </w:tr>
      <w:tr w:rsidR="00B61093">
        <w:tc>
          <w:tcPr>
            <w:tcW w:w="3100" w:type="dxa"/>
            <w:vAlign w:val="center"/>
          </w:tcPr>
          <w:p w:rsidR="00B61093" w:rsidRDefault="00722250">
            <w:pPr>
              <w:spacing w:line="240" w:lineRule="auto"/>
            </w:pPr>
            <w:r>
              <w:t>B. 17. Other changes, if any</w:t>
            </w:r>
          </w:p>
        </w:tc>
        <w:tc>
          <w:tcPr>
            <w:tcW w:w="7680" w:type="dxa"/>
            <w:gridSpan w:val="2"/>
          </w:tcPr>
          <w:p w:rsidR="00B61093" w:rsidRDefault="00B61093">
            <w:pPr>
              <w:spacing w:line="240" w:lineRule="auto"/>
              <w:rPr>
                <w:rFonts w:ascii="Calibri" w:eastAsia="Calibri" w:hAnsi="Calibri" w:cs="Calibri"/>
                <w:b/>
                <w:smallCaps/>
                <w:sz w:val="24"/>
                <w:szCs w:val="24"/>
              </w:rPr>
            </w:pPr>
          </w:p>
        </w:tc>
      </w:tr>
    </w:tbl>
    <w:p w:rsidR="00B61093" w:rsidRDefault="00B61093">
      <w:pPr>
        <w:spacing w:line="240" w:lineRule="auto"/>
      </w:pP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328"/>
        <w:gridCol w:w="1894"/>
        <w:gridCol w:w="4558"/>
      </w:tblGrid>
      <w:tr w:rsidR="00B61093">
        <w:tc>
          <w:tcPr>
            <w:tcW w:w="4328" w:type="dxa"/>
          </w:tcPr>
          <w:p w:rsidR="00B61093" w:rsidRDefault="00722250">
            <w:pPr>
              <w:spacing w:line="240" w:lineRule="auto"/>
              <w:rPr>
                <w:b/>
              </w:rPr>
            </w:pPr>
            <w:r>
              <w:t>B.18</w:t>
            </w:r>
            <w:r>
              <w:rPr>
                <w:b/>
              </w:rPr>
              <w:t xml:space="preserve">. </w:t>
            </w:r>
            <w:hyperlink w:anchor="qsh70q">
              <w:r>
                <w:rPr>
                  <w:b/>
                  <w:color w:val="0000FF"/>
                  <w:u w:val="single"/>
                </w:rPr>
                <w:t>Course learning outcomes</w:t>
              </w:r>
            </w:hyperlink>
            <w:r>
              <w:rPr>
                <w:b/>
                <w:color w:val="0000FF"/>
                <w:u w:val="single"/>
              </w:rPr>
              <w:t>: List each one in a separate row</w:t>
            </w:r>
          </w:p>
        </w:tc>
        <w:tc>
          <w:tcPr>
            <w:tcW w:w="1894" w:type="dxa"/>
          </w:tcPr>
          <w:p w:rsidR="00B61093" w:rsidRDefault="00A00F2F">
            <w:pPr>
              <w:spacing w:line="240" w:lineRule="auto"/>
              <w:rPr>
                <w:b/>
              </w:rPr>
            </w:pPr>
            <w:hyperlink w:anchor="3as4poj">
              <w:r w:rsidR="00722250">
                <w:rPr>
                  <w:b/>
                  <w:color w:val="0000FF"/>
                  <w:u w:val="single"/>
                </w:rPr>
                <w:t xml:space="preserve">Professional </w:t>
              </w:r>
              <w:proofErr w:type="spellStart"/>
              <w:r w:rsidR="00722250">
                <w:rPr>
                  <w:b/>
                  <w:color w:val="0000FF"/>
                  <w:u w:val="single"/>
                </w:rPr>
                <w:t>Org.Standard</w:t>
              </w:r>
              <w:proofErr w:type="spellEnd"/>
              <w:r w:rsidR="00722250">
                <w:rPr>
                  <w:b/>
                  <w:color w:val="0000FF"/>
                  <w:u w:val="single"/>
                </w:rPr>
                <w:t>(s)</w:t>
              </w:r>
            </w:hyperlink>
            <w:r w:rsidR="00722250">
              <w:rPr>
                <w:b/>
                <w:color w:val="0000FF"/>
                <w:u w:val="single"/>
              </w:rPr>
              <w:t>, if relevant</w:t>
            </w:r>
          </w:p>
        </w:tc>
        <w:tc>
          <w:tcPr>
            <w:tcW w:w="4558" w:type="dxa"/>
          </w:tcPr>
          <w:p w:rsidR="00B61093" w:rsidRDefault="00A00F2F">
            <w:pPr>
              <w:spacing w:line="240" w:lineRule="auto"/>
              <w:rPr>
                <w:b/>
              </w:rPr>
            </w:pPr>
            <w:hyperlink w:anchor="1pxezwc">
              <w:r w:rsidR="00722250">
                <w:rPr>
                  <w:b/>
                  <w:color w:val="0000FF"/>
                  <w:u w:val="single"/>
                </w:rPr>
                <w:t>How will each outcome be measured</w:t>
              </w:r>
            </w:hyperlink>
            <w:r w:rsidR="00722250">
              <w:rPr>
                <w:b/>
              </w:rPr>
              <w:t>?</w:t>
            </w:r>
          </w:p>
        </w:tc>
      </w:tr>
      <w:tr w:rsidR="00B61093">
        <w:tc>
          <w:tcPr>
            <w:tcW w:w="4328" w:type="dxa"/>
          </w:tcPr>
          <w:p w:rsidR="00B61093" w:rsidRDefault="00722250">
            <w:pPr>
              <w:spacing w:line="240" w:lineRule="auto"/>
            </w:pPr>
            <w:bookmarkStart w:id="18" w:name="qsh70q" w:colFirst="0" w:colLast="0"/>
            <w:bookmarkEnd w:id="18"/>
            <w:r>
              <w:t>Use and apply the major concepts, principles, theories, laws, and interrelationships of their fields of licensure and supporting fields. Explain the nature of science and the cultural norms and values inherent to the current and historical development of scientific knowledge.”</w:t>
            </w:r>
          </w:p>
        </w:tc>
        <w:tc>
          <w:tcPr>
            <w:tcW w:w="1894" w:type="dxa"/>
          </w:tcPr>
          <w:p w:rsidR="00B61093" w:rsidRDefault="00B61093">
            <w:pPr>
              <w:spacing w:line="240" w:lineRule="auto"/>
            </w:pPr>
          </w:p>
          <w:p w:rsidR="00B61093" w:rsidRDefault="00722250">
            <w:pPr>
              <w:spacing w:line="240" w:lineRule="auto"/>
            </w:pPr>
            <w:bookmarkStart w:id="19" w:name="3as4poj" w:colFirst="0" w:colLast="0"/>
            <w:bookmarkEnd w:id="19"/>
            <w:r>
              <w:t>NSTA/ASTE 1a</w:t>
            </w:r>
          </w:p>
        </w:tc>
        <w:tc>
          <w:tcPr>
            <w:tcW w:w="4558" w:type="dxa"/>
          </w:tcPr>
          <w:p w:rsidR="00B61093" w:rsidRDefault="00311EBA" w:rsidP="00311EBA">
            <w:pPr>
              <w:spacing w:line="240" w:lineRule="auto"/>
            </w:pPr>
            <w:bookmarkStart w:id="20" w:name="_49x2ik5" w:colFirst="0" w:colLast="0"/>
            <w:bookmarkEnd w:id="20"/>
            <w:r w:rsidRPr="00601AFE">
              <w:t>Classroom Assignments</w:t>
            </w:r>
            <w:r>
              <w:t xml:space="preserve">: </w:t>
            </w:r>
            <w:r w:rsidRPr="00601AFE">
              <w:t xml:space="preserve">informal written analysis of primary documents </w:t>
            </w:r>
            <w:proofErr w:type="gramStart"/>
            <w:r w:rsidRPr="00601AFE">
              <w:t>completed  individually</w:t>
            </w:r>
            <w:proofErr w:type="gramEnd"/>
            <w:r w:rsidRPr="00601AFE">
              <w:t xml:space="preserve"> and in groups</w:t>
            </w:r>
            <w:r>
              <w:t xml:space="preserve">. </w:t>
            </w:r>
            <w:r w:rsidRPr="00601AFE">
              <w:t>Reacting to the Past Formal Paper</w:t>
            </w:r>
            <w:r>
              <w:t xml:space="preserve">: </w:t>
            </w:r>
            <w:r w:rsidRPr="00601AFE">
              <w:t>written assignment based on historical sources that may take multiple forms, persuasive pieces meant to complement classroom interactions</w:t>
            </w:r>
            <w:r>
              <w:t xml:space="preserve">. Paper </w:t>
            </w:r>
            <w:r w:rsidRPr="00601AFE">
              <w:t>examining defining elements of scientific and thought and practice</w:t>
            </w:r>
            <w:r>
              <w:t>, and p</w:t>
            </w:r>
            <w:r w:rsidRPr="00601AFE">
              <w:t xml:space="preserve">rimary </w:t>
            </w:r>
            <w:r>
              <w:t>d</w:t>
            </w:r>
            <w:r w:rsidRPr="00601AFE">
              <w:t xml:space="preserve">ocument </w:t>
            </w:r>
            <w:r>
              <w:t>j</w:t>
            </w:r>
            <w:r w:rsidRPr="00601AFE">
              <w:t>ournal</w:t>
            </w:r>
            <w:r>
              <w:t xml:space="preserve"> of </w:t>
            </w:r>
            <w:r w:rsidRPr="00601AFE">
              <w:t>informal writing that stimulates thinking and making connections between readings</w:t>
            </w:r>
            <w:r>
              <w:t>.</w:t>
            </w:r>
            <w:r w:rsidRPr="00601AFE">
              <w:t xml:space="preserve"> </w:t>
            </w:r>
          </w:p>
        </w:tc>
      </w:tr>
      <w:tr w:rsidR="00B61093">
        <w:tc>
          <w:tcPr>
            <w:tcW w:w="4328" w:type="dxa"/>
          </w:tcPr>
          <w:p w:rsidR="00B61093" w:rsidRDefault="00722250">
            <w:pPr>
              <w:spacing w:line="240" w:lineRule="auto"/>
            </w:pPr>
            <w:r>
              <w:t>Learn the practices, ideas and values that define modern science and develop the skills to identify what differentiates science from other endeavors</w:t>
            </w:r>
          </w:p>
        </w:tc>
        <w:tc>
          <w:tcPr>
            <w:tcW w:w="1894" w:type="dxa"/>
          </w:tcPr>
          <w:p w:rsidR="00B61093" w:rsidRDefault="00B61093">
            <w:pPr>
              <w:spacing w:line="240" w:lineRule="auto"/>
            </w:pPr>
          </w:p>
        </w:tc>
        <w:tc>
          <w:tcPr>
            <w:tcW w:w="4558" w:type="dxa"/>
          </w:tcPr>
          <w:p w:rsidR="00B61093" w:rsidRDefault="00311EBA">
            <w:pPr>
              <w:spacing w:line="240" w:lineRule="auto"/>
            </w:pPr>
            <w:r w:rsidRPr="00601AFE">
              <w:t>Reflect</w:t>
            </w:r>
            <w:r>
              <w:t>ions</w:t>
            </w:r>
            <w:r w:rsidRPr="00601AFE">
              <w:t xml:space="preserve"> on connections between society, science and medicine; consider the ways science and medicine shape actions in society and environment</w:t>
            </w:r>
            <w:r>
              <w:t>; Using e</w:t>
            </w:r>
            <w:r w:rsidRPr="00601AFE">
              <w:t xml:space="preserve">xamples drawn from different historical and geographical contexts facilitate comparisons of cultural, social, political and economic interactions with science and medicine across time and place </w:t>
            </w:r>
            <w:r>
              <w:t>in class discussion and writing</w:t>
            </w:r>
          </w:p>
        </w:tc>
      </w:tr>
      <w:tr w:rsidR="00B61093">
        <w:tc>
          <w:tcPr>
            <w:tcW w:w="4328" w:type="dxa"/>
          </w:tcPr>
          <w:p w:rsidR="00B61093" w:rsidRDefault="00722250">
            <w:pPr>
              <w:spacing w:line="240" w:lineRule="auto"/>
            </w:pPr>
            <w:r>
              <w:t>learn major questions, themes, and practices of modern science</w:t>
            </w:r>
          </w:p>
        </w:tc>
        <w:tc>
          <w:tcPr>
            <w:tcW w:w="1894" w:type="dxa"/>
          </w:tcPr>
          <w:p w:rsidR="00B61093" w:rsidRDefault="00B61093">
            <w:pPr>
              <w:spacing w:line="240" w:lineRule="auto"/>
            </w:pPr>
          </w:p>
        </w:tc>
        <w:tc>
          <w:tcPr>
            <w:tcW w:w="4558" w:type="dxa"/>
          </w:tcPr>
          <w:p w:rsidR="00B61093" w:rsidRDefault="00311EBA">
            <w:pPr>
              <w:spacing w:line="240" w:lineRule="auto"/>
            </w:pPr>
            <w:r>
              <w:t>Papers and exams</w:t>
            </w:r>
          </w:p>
        </w:tc>
      </w:tr>
      <w:tr w:rsidR="00B61093">
        <w:tc>
          <w:tcPr>
            <w:tcW w:w="4328" w:type="dxa"/>
          </w:tcPr>
          <w:p w:rsidR="00B61093" w:rsidRDefault="00722250">
            <w:pPr>
              <w:spacing w:line="240" w:lineRule="auto"/>
            </w:pPr>
            <w:r>
              <w:t>learn the social and cultural contexts of modern science in order to better appreciate the role of science in our world today</w:t>
            </w:r>
          </w:p>
        </w:tc>
        <w:tc>
          <w:tcPr>
            <w:tcW w:w="1894" w:type="dxa"/>
          </w:tcPr>
          <w:p w:rsidR="00B61093" w:rsidRDefault="00B61093">
            <w:pPr>
              <w:spacing w:line="240" w:lineRule="auto"/>
            </w:pPr>
          </w:p>
        </w:tc>
        <w:tc>
          <w:tcPr>
            <w:tcW w:w="4558" w:type="dxa"/>
          </w:tcPr>
          <w:p w:rsidR="00B61093" w:rsidRDefault="00311EBA">
            <w:pPr>
              <w:spacing w:line="240" w:lineRule="auto"/>
            </w:pPr>
            <w:r>
              <w:t>Discussion papers and exams</w:t>
            </w:r>
          </w:p>
        </w:tc>
      </w:tr>
      <w:tr w:rsidR="00B61093">
        <w:tc>
          <w:tcPr>
            <w:tcW w:w="4328" w:type="dxa"/>
          </w:tcPr>
          <w:p w:rsidR="00B61093" w:rsidRDefault="00722250">
            <w:pPr>
              <w:spacing w:line="240" w:lineRule="auto"/>
            </w:pPr>
            <w:r>
              <w:t>learn how historians analyze an array of sources—written and visual—to understand and interpret events and peoples of the past</w:t>
            </w:r>
          </w:p>
        </w:tc>
        <w:tc>
          <w:tcPr>
            <w:tcW w:w="1894" w:type="dxa"/>
          </w:tcPr>
          <w:p w:rsidR="00B61093" w:rsidRDefault="00B61093">
            <w:pPr>
              <w:spacing w:line="240" w:lineRule="auto"/>
            </w:pPr>
          </w:p>
        </w:tc>
        <w:tc>
          <w:tcPr>
            <w:tcW w:w="4558" w:type="dxa"/>
          </w:tcPr>
          <w:p w:rsidR="00B61093" w:rsidRDefault="00311EBA">
            <w:pPr>
              <w:spacing w:line="240" w:lineRule="auto"/>
            </w:pPr>
            <w:r>
              <w:t xml:space="preserve">Paper </w:t>
            </w:r>
            <w:r w:rsidRPr="00601AFE">
              <w:t xml:space="preserve">that will require students to persuade classmates using multiple sources of evidence and prepare to counter critics and deal with other perspectives </w:t>
            </w:r>
          </w:p>
        </w:tc>
      </w:tr>
      <w:tr w:rsidR="00B61093">
        <w:tc>
          <w:tcPr>
            <w:tcW w:w="4328" w:type="dxa"/>
          </w:tcPr>
          <w:p w:rsidR="00B61093" w:rsidRDefault="00722250">
            <w:pPr>
              <w:spacing w:line="240" w:lineRule="auto"/>
            </w:pPr>
            <w:r>
              <w:t>Practice analyzing historical documents—written and visual—to better appreciate</w:t>
            </w:r>
          </w:p>
          <w:p w:rsidR="00B61093" w:rsidRDefault="00722250">
            <w:pPr>
              <w:spacing w:line="240" w:lineRule="auto"/>
            </w:pPr>
            <w:r>
              <w:t>historians’ practices, the complexities of interpreting historical events, and the power of history in shaping our understanding of the world today</w:t>
            </w:r>
          </w:p>
        </w:tc>
        <w:tc>
          <w:tcPr>
            <w:tcW w:w="1894" w:type="dxa"/>
          </w:tcPr>
          <w:p w:rsidR="00B61093" w:rsidRDefault="00B61093">
            <w:pPr>
              <w:spacing w:line="240" w:lineRule="auto"/>
            </w:pPr>
          </w:p>
        </w:tc>
        <w:tc>
          <w:tcPr>
            <w:tcW w:w="4558" w:type="dxa"/>
          </w:tcPr>
          <w:p w:rsidR="00311EBA" w:rsidRDefault="00311EBA" w:rsidP="00311EBA">
            <w:pPr>
              <w:spacing w:line="240" w:lineRule="auto"/>
            </w:pPr>
            <w:r>
              <w:t xml:space="preserve">Exercises to practice </w:t>
            </w:r>
            <w:r w:rsidRPr="00601AFE">
              <w:t>interpretation of content, purpose, authors’ intentions and perspectives, cultural values; students will compare and contrast with those from other times and places as well as their own</w:t>
            </w:r>
            <w:r>
              <w:t>.</w:t>
            </w:r>
          </w:p>
          <w:p w:rsidR="00B61093" w:rsidRDefault="00311EBA">
            <w:pPr>
              <w:spacing w:line="240" w:lineRule="auto"/>
            </w:pPr>
            <w:r>
              <w:t>P</w:t>
            </w:r>
            <w:r w:rsidRPr="00601AFE">
              <w:t xml:space="preserve">ractice interpreting primary documents, including analysis of ideas, perspectives, purposes, cultural assumptions </w:t>
            </w:r>
          </w:p>
        </w:tc>
      </w:tr>
      <w:tr w:rsidR="00B61093">
        <w:tc>
          <w:tcPr>
            <w:tcW w:w="4328" w:type="dxa"/>
          </w:tcPr>
          <w:p w:rsidR="00B61093" w:rsidRDefault="00311EBA">
            <w:pPr>
              <w:spacing w:line="240" w:lineRule="auto"/>
            </w:pPr>
            <w:r>
              <w:t>C</w:t>
            </w:r>
            <w:r w:rsidR="00722250">
              <w:t xml:space="preserve">ultivate abilities to communicate and argue persuasively in classroom discussions and written papers. Students will produce writing that is organized, supported by evidence, demonstrates correct usage of grammar and terminology, </w:t>
            </w:r>
            <w:r w:rsidR="00722250">
              <w:lastRenderedPageBreak/>
              <w:t xml:space="preserve">and is appropriate to the academic context. (Written Communication) and Students will learn to speak in a clearly expressed, purposeful, and carefully organized way that engages and connects with </w:t>
            </w:r>
            <w:proofErr w:type="gramStart"/>
            <w:r w:rsidR="00722250">
              <w:t>their</w:t>
            </w:r>
            <w:proofErr w:type="gramEnd"/>
          </w:p>
          <w:p w:rsidR="00B61093" w:rsidRDefault="00722250">
            <w:pPr>
              <w:spacing w:line="240" w:lineRule="auto"/>
            </w:pPr>
            <w:r>
              <w:t xml:space="preserve">audience. (Oral Communication) </w:t>
            </w:r>
          </w:p>
        </w:tc>
        <w:tc>
          <w:tcPr>
            <w:tcW w:w="1894" w:type="dxa"/>
          </w:tcPr>
          <w:p w:rsidR="00B61093" w:rsidRDefault="00B61093">
            <w:pPr>
              <w:spacing w:line="240" w:lineRule="auto"/>
            </w:pPr>
          </w:p>
        </w:tc>
        <w:tc>
          <w:tcPr>
            <w:tcW w:w="4558" w:type="dxa"/>
          </w:tcPr>
          <w:p w:rsidR="00B61093" w:rsidRDefault="00311EBA">
            <w:pPr>
              <w:spacing w:line="240" w:lineRule="auto"/>
            </w:pPr>
            <w:r>
              <w:t>R</w:t>
            </w:r>
            <w:r w:rsidRPr="00601AFE">
              <w:t>ole playing activities put students in the shoes of historical figures and transport them to different historical contexts encouraging them to consider ethical issues from multiple perspectives</w:t>
            </w:r>
          </w:p>
        </w:tc>
      </w:tr>
    </w:tbl>
    <w:p w:rsidR="00B61093" w:rsidRDefault="00B61093"/>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B61093">
        <w:tc>
          <w:tcPr>
            <w:tcW w:w="10780" w:type="dxa"/>
          </w:tcPr>
          <w:p w:rsidR="00B61093" w:rsidRDefault="00722250">
            <w:pPr>
              <w:keepNext/>
              <w:spacing w:line="240" w:lineRule="auto"/>
            </w:pPr>
            <w:r>
              <w:t xml:space="preserve">B.19. </w:t>
            </w:r>
            <w:hyperlink w:anchor="2p2csry">
              <w:r>
                <w:rPr>
                  <w:b/>
                  <w:color w:val="0000FF"/>
                  <w:u w:val="single"/>
                </w:rPr>
                <w:t>Topical outline</w:t>
              </w:r>
            </w:hyperlink>
            <w:r>
              <w:rPr>
                <w:b/>
                <w:color w:val="0000FF"/>
                <w:u w:val="single"/>
              </w:rPr>
              <w:t>: Do NOT insert whole syllabus, we just need a two-tier outline</w:t>
            </w:r>
          </w:p>
        </w:tc>
      </w:tr>
      <w:tr w:rsidR="00B61093">
        <w:tc>
          <w:tcPr>
            <w:tcW w:w="10780" w:type="dxa"/>
          </w:tcPr>
          <w:p w:rsidR="00B61093" w:rsidRDefault="00722250">
            <w:pPr>
              <w:spacing w:line="240" w:lineRule="auto"/>
            </w:pPr>
            <w:bookmarkStart w:id="21" w:name="2p2csry" w:colFirst="0" w:colLast="0"/>
            <w:bookmarkEnd w:id="21"/>
            <w:r>
              <w:rPr>
                <w:b/>
              </w:rPr>
              <w:t>Topics</w:t>
            </w:r>
          </w:p>
          <w:p w:rsidR="00B61093" w:rsidRDefault="00722250">
            <w:pPr>
              <w:spacing w:line="240" w:lineRule="auto"/>
              <w:rPr>
                <w:b/>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25401</wp:posOffset>
                      </wp:positionH>
                      <wp:positionV relativeFrom="paragraph">
                        <wp:posOffset>38100</wp:posOffset>
                      </wp:positionV>
                      <wp:extent cx="575373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69133" y="3780000"/>
                                <a:ext cx="57537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5753735"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753735" cy="12700"/>
                              </a:xfrm>
                              <a:prstGeom prst="rect"/>
                              <a:ln/>
                            </pic:spPr>
                          </pic:pic>
                        </a:graphicData>
                      </a:graphic>
                    </wp:anchor>
                  </w:drawing>
                </mc:Fallback>
              </mc:AlternateContent>
            </w:r>
          </w:p>
          <w:p w:rsidR="00B61093" w:rsidRDefault="00722250">
            <w:pPr>
              <w:spacing w:line="240" w:lineRule="auto"/>
            </w:pPr>
            <w:r>
              <w:t xml:space="preserve">Knowledge in the Ancient and Medieval West </w:t>
            </w:r>
          </w:p>
          <w:p w:rsidR="00B61093" w:rsidRDefault="00722250">
            <w:pPr>
              <w:numPr>
                <w:ilvl w:val="0"/>
                <w:numId w:val="10"/>
              </w:numPr>
              <w:spacing w:line="240" w:lineRule="auto"/>
            </w:pPr>
            <w:r>
              <w:t>Defining Science (history of the term “science”; knowledge and practice in the past</w:t>
            </w:r>
          </w:p>
          <w:p w:rsidR="00B61093" w:rsidRDefault="00722250">
            <w:pPr>
              <w:numPr>
                <w:ilvl w:val="0"/>
                <w:numId w:val="10"/>
              </w:numPr>
              <w:spacing w:line="240" w:lineRule="auto"/>
            </w:pPr>
            <w:r>
              <w:t xml:space="preserve">Human bodies, nature &amp; the Cosmos in the Classical Tradition </w:t>
            </w:r>
          </w:p>
          <w:p w:rsidR="00B61093" w:rsidRDefault="00722250">
            <w:pPr>
              <w:numPr>
                <w:ilvl w:val="0"/>
                <w:numId w:val="7"/>
              </w:numPr>
              <w:spacing w:line="240" w:lineRule="auto"/>
            </w:pPr>
            <w:r>
              <w:t>Henry, Chapter 1 “Setting the Scene: Natural Philosophy in Ancient Greece”; Chapter 2 “Plato and Aristotle”; Chapter 3 “From the Roman Empire to the Empire of Islam” (pp. 1-37)</w:t>
            </w:r>
          </w:p>
          <w:p w:rsidR="00B61093" w:rsidRDefault="00722250">
            <w:pPr>
              <w:numPr>
                <w:ilvl w:val="0"/>
                <w:numId w:val="7"/>
              </w:numPr>
              <w:spacing w:line="240" w:lineRule="auto"/>
            </w:pPr>
            <w:r>
              <w:t xml:space="preserve">Primary Source Selections: Hippocrates, </w:t>
            </w:r>
            <w:r>
              <w:rPr>
                <w:i/>
              </w:rPr>
              <w:t>On the Sacred Disease</w:t>
            </w:r>
            <w:r>
              <w:t xml:space="preserve"> Selections; Pliny </w:t>
            </w:r>
            <w:r>
              <w:rPr>
                <w:i/>
              </w:rPr>
              <w:t>Natural History</w:t>
            </w:r>
            <w:r>
              <w:t xml:space="preserve"> Selections</w:t>
            </w:r>
          </w:p>
          <w:p w:rsidR="00B61093" w:rsidRDefault="00722250">
            <w:pPr>
              <w:spacing w:line="240" w:lineRule="auto"/>
            </w:pPr>
            <w:r>
              <w:t xml:space="preserve">Medieval knowledge, Christianity, Islam and the roots of modern science </w:t>
            </w:r>
          </w:p>
          <w:p w:rsidR="00B61093" w:rsidRDefault="00722250">
            <w:pPr>
              <w:numPr>
                <w:ilvl w:val="0"/>
                <w:numId w:val="2"/>
              </w:numPr>
              <w:spacing w:line="240" w:lineRule="auto"/>
            </w:pPr>
            <w:r>
              <w:t>Henry, Chapter 3 “From the Roman Empire to the Empire of Islam”; Chapter 4 “The Western Middle Ages” (pp. 26-50)</w:t>
            </w:r>
          </w:p>
          <w:p w:rsidR="00B61093" w:rsidRDefault="00722250">
            <w:pPr>
              <w:numPr>
                <w:ilvl w:val="0"/>
                <w:numId w:val="2"/>
              </w:numPr>
              <w:spacing w:line="240" w:lineRule="auto"/>
            </w:pPr>
            <w:r>
              <w:t xml:space="preserve">Toby Huff, </w:t>
            </w:r>
            <w:r>
              <w:rPr>
                <w:i/>
              </w:rPr>
              <w:t>The Rise of Early Modern Science: Islam, China and the West</w:t>
            </w:r>
            <w:r>
              <w:t xml:space="preserve"> (Cambridge UP, 1993) selections </w:t>
            </w:r>
          </w:p>
          <w:p w:rsidR="00B61093" w:rsidRDefault="00722250">
            <w:pPr>
              <w:numPr>
                <w:ilvl w:val="0"/>
                <w:numId w:val="2"/>
              </w:numPr>
              <w:spacing w:line="240" w:lineRule="auto"/>
            </w:pPr>
            <w:r>
              <w:t xml:space="preserve">Primary Sources: Avicenna selections; Averroes selections </w:t>
            </w:r>
          </w:p>
          <w:p w:rsidR="00B61093" w:rsidRDefault="00722250">
            <w:pPr>
              <w:spacing w:line="240" w:lineRule="auto"/>
            </w:pPr>
            <w:r>
              <w:t xml:space="preserve">Renaissance curiosity, monsters, marvels and the revival of magic in the roots of Modern Science </w:t>
            </w:r>
          </w:p>
          <w:p w:rsidR="00B61093" w:rsidRDefault="00722250">
            <w:pPr>
              <w:numPr>
                <w:ilvl w:val="0"/>
                <w:numId w:val="2"/>
              </w:numPr>
              <w:spacing w:line="240" w:lineRule="auto"/>
            </w:pPr>
            <w:r>
              <w:t>Henry, Chapter 5 “The Renaissance” (pp. 51-61)</w:t>
            </w:r>
          </w:p>
          <w:p w:rsidR="00B61093" w:rsidRDefault="00722250">
            <w:pPr>
              <w:numPr>
                <w:ilvl w:val="0"/>
                <w:numId w:val="2"/>
              </w:numPr>
              <w:spacing w:line="240" w:lineRule="auto"/>
            </w:pPr>
            <w:r>
              <w:t xml:space="preserve">William </w:t>
            </w:r>
            <w:proofErr w:type="spellStart"/>
            <w:r>
              <w:t>Eamon</w:t>
            </w:r>
            <w:proofErr w:type="spellEnd"/>
            <w:r>
              <w:rPr>
                <w:i/>
              </w:rPr>
              <w:t>, The Professor of Secrets: Mystery, Magic and Alchemy in Renaissance Italy</w:t>
            </w:r>
            <w:r>
              <w:t xml:space="preserve"> (National Geographic, 2010) selections</w:t>
            </w:r>
          </w:p>
          <w:p w:rsidR="00B61093" w:rsidRDefault="00722250">
            <w:pPr>
              <w:numPr>
                <w:ilvl w:val="0"/>
                <w:numId w:val="2"/>
              </w:numPr>
              <w:spacing w:line="240" w:lineRule="auto"/>
            </w:pPr>
            <w:r>
              <w:t xml:space="preserve">Lorraine </w:t>
            </w:r>
            <w:proofErr w:type="spellStart"/>
            <w:r>
              <w:t>Daston</w:t>
            </w:r>
            <w:proofErr w:type="spellEnd"/>
            <w:r>
              <w:t xml:space="preserve"> and Katherine Park, “Unnatural Conceptions: The Study of Monsters in Sixteenth and Seventeenth-Century France and England” (JSTOR)</w:t>
            </w:r>
          </w:p>
          <w:p w:rsidR="00B61093" w:rsidRDefault="00722250">
            <w:pPr>
              <w:numPr>
                <w:ilvl w:val="0"/>
                <w:numId w:val="2"/>
              </w:numPr>
              <w:spacing w:line="240" w:lineRule="auto"/>
            </w:pPr>
            <w:r>
              <w:t xml:space="preserve"> Primary Sources: </w:t>
            </w:r>
            <w:proofErr w:type="spellStart"/>
            <w:r>
              <w:t>Giambattista</w:t>
            </w:r>
            <w:proofErr w:type="spellEnd"/>
            <w:r>
              <w:t xml:space="preserve"> </w:t>
            </w:r>
            <w:proofErr w:type="spellStart"/>
            <w:r>
              <w:t>della</w:t>
            </w:r>
            <w:proofErr w:type="spellEnd"/>
            <w:r>
              <w:t xml:space="preserve"> Porta, </w:t>
            </w:r>
            <w:r>
              <w:rPr>
                <w:i/>
              </w:rPr>
              <w:t xml:space="preserve">Natural </w:t>
            </w:r>
            <w:proofErr w:type="spellStart"/>
            <w:r>
              <w:rPr>
                <w:i/>
              </w:rPr>
              <w:t>Magick</w:t>
            </w:r>
            <w:proofErr w:type="spellEnd"/>
            <w:r>
              <w:t xml:space="preserve"> selections; Pare, </w:t>
            </w:r>
            <w:r>
              <w:rPr>
                <w:i/>
              </w:rPr>
              <w:t>On Monsters and Marvels</w:t>
            </w:r>
            <w:r>
              <w:t xml:space="preserve">, selections </w:t>
            </w:r>
          </w:p>
          <w:p w:rsidR="00B61093" w:rsidRDefault="00722250">
            <w:pPr>
              <w:spacing w:line="240" w:lineRule="auto"/>
            </w:pPr>
            <w:r>
              <w:t xml:space="preserve">The human body and medicine in the Renaissance   </w:t>
            </w:r>
          </w:p>
          <w:p w:rsidR="00B61093" w:rsidRDefault="00722250">
            <w:pPr>
              <w:numPr>
                <w:ilvl w:val="0"/>
                <w:numId w:val="8"/>
              </w:numPr>
              <w:spacing w:line="240" w:lineRule="auto"/>
            </w:pPr>
            <w:r>
              <w:t>Henry, Chapter 10 “Practice and Theory in Renaissance Medicine: William Harvey and the Circulation of the Blood” (pp. 122-128)</w:t>
            </w:r>
          </w:p>
          <w:p w:rsidR="00B61093" w:rsidRDefault="00722250">
            <w:pPr>
              <w:numPr>
                <w:ilvl w:val="0"/>
                <w:numId w:val="8"/>
              </w:numPr>
              <w:spacing w:line="240" w:lineRule="auto"/>
            </w:pPr>
            <w:r>
              <w:t xml:space="preserve">Harvey, </w:t>
            </w:r>
            <w:r>
              <w:rPr>
                <w:i/>
              </w:rPr>
              <w:t>On the Motion of the Heart and Blood</w:t>
            </w:r>
            <w:r>
              <w:t xml:space="preserve">, selections; Vesalius, </w:t>
            </w:r>
            <w:r>
              <w:rPr>
                <w:i/>
              </w:rPr>
              <w:t>Fabric of the Human Body</w:t>
            </w:r>
            <w:r>
              <w:t xml:space="preserve">, selections </w:t>
            </w:r>
          </w:p>
          <w:p w:rsidR="00B61093" w:rsidRDefault="00722250">
            <w:pPr>
              <w:spacing w:line="240" w:lineRule="auto"/>
            </w:pPr>
            <w:r>
              <w:t xml:space="preserve">The Renaissance man: Leonardo da Vinci and the intersections of science and art </w:t>
            </w:r>
          </w:p>
          <w:p w:rsidR="00B61093" w:rsidRDefault="00722250">
            <w:pPr>
              <w:numPr>
                <w:ilvl w:val="0"/>
                <w:numId w:val="8"/>
              </w:numPr>
              <w:spacing w:line="240" w:lineRule="auto"/>
            </w:pPr>
            <w:r>
              <w:t xml:space="preserve">Martin Kemp, </w:t>
            </w:r>
            <w:r>
              <w:rPr>
                <w:i/>
              </w:rPr>
              <w:t>Leonardo</w:t>
            </w:r>
            <w:r>
              <w:t xml:space="preserve"> (Oxford UP, 2011) selections </w:t>
            </w:r>
          </w:p>
          <w:p w:rsidR="00B61093" w:rsidRDefault="00722250">
            <w:pPr>
              <w:numPr>
                <w:ilvl w:val="0"/>
                <w:numId w:val="8"/>
              </w:numPr>
              <w:spacing w:line="240" w:lineRule="auto"/>
            </w:pPr>
            <w:r>
              <w:t xml:space="preserve">Leonardo Notebooks, selections </w:t>
            </w:r>
          </w:p>
          <w:p w:rsidR="00B61093" w:rsidRDefault="00B61093">
            <w:pPr>
              <w:spacing w:line="240" w:lineRule="auto"/>
            </w:pPr>
          </w:p>
          <w:p w:rsidR="00B61093" w:rsidRDefault="00722250">
            <w:pPr>
              <w:spacing w:line="240" w:lineRule="auto"/>
            </w:pPr>
            <w:r>
              <w:t>What was the Scientific Revolution?</w:t>
            </w:r>
          </w:p>
          <w:p w:rsidR="00B61093" w:rsidRDefault="00722250">
            <w:pPr>
              <w:numPr>
                <w:ilvl w:val="0"/>
                <w:numId w:val="8"/>
              </w:numPr>
              <w:spacing w:line="240" w:lineRule="auto"/>
            </w:pPr>
            <w:r>
              <w:t>Henry, Chapter 7 “New Methods of Science” (pp. 76-96)</w:t>
            </w:r>
          </w:p>
          <w:p w:rsidR="00B61093" w:rsidRDefault="00B61093">
            <w:pPr>
              <w:spacing w:line="240" w:lineRule="auto"/>
            </w:pPr>
          </w:p>
          <w:p w:rsidR="00B61093" w:rsidRDefault="00722250">
            <w:pPr>
              <w:spacing w:line="240" w:lineRule="auto"/>
            </w:pPr>
            <w:r>
              <w:t>The Copernican Revolution</w:t>
            </w:r>
          </w:p>
          <w:p w:rsidR="00B61093" w:rsidRDefault="00722250">
            <w:pPr>
              <w:numPr>
                <w:ilvl w:val="0"/>
                <w:numId w:val="4"/>
              </w:numPr>
              <w:spacing w:line="240" w:lineRule="auto"/>
            </w:pPr>
            <w:r>
              <w:t>Henry, Chapter 6 “Nicholas Copernicus and a New World”; Chapter 8 “Bringing Mathematics and Natural Philosophy Together: Johannes Kepler” (pp. 62-75 &amp; 97-107)</w:t>
            </w:r>
          </w:p>
          <w:p w:rsidR="00B61093" w:rsidRDefault="00722250">
            <w:pPr>
              <w:numPr>
                <w:ilvl w:val="0"/>
                <w:numId w:val="4"/>
              </w:numPr>
              <w:spacing w:line="240" w:lineRule="auto"/>
            </w:pPr>
            <w:r>
              <w:t xml:space="preserve">Primary Source: Copernicus, </w:t>
            </w:r>
            <w:r>
              <w:rPr>
                <w:i/>
              </w:rPr>
              <w:t>The Revolutions of the Heavenly Bodies</w:t>
            </w:r>
            <w:r>
              <w:t xml:space="preserve">, selections </w:t>
            </w:r>
          </w:p>
          <w:p w:rsidR="00B61093" w:rsidRDefault="00B61093">
            <w:pPr>
              <w:spacing w:line="240" w:lineRule="auto"/>
            </w:pPr>
          </w:p>
          <w:p w:rsidR="00B61093" w:rsidRDefault="00722250">
            <w:pPr>
              <w:spacing w:line="240" w:lineRule="auto"/>
            </w:pPr>
            <w:r>
              <w:t xml:space="preserve">The Case of Galileo: personality, promotion, religion and the </w:t>
            </w:r>
            <w:proofErr w:type="spellStart"/>
            <w:r>
              <w:t>wew</w:t>
            </w:r>
            <w:proofErr w:type="spellEnd"/>
            <w:r>
              <w:t xml:space="preserve"> science </w:t>
            </w:r>
          </w:p>
          <w:p w:rsidR="00B61093" w:rsidRDefault="00722250">
            <w:pPr>
              <w:numPr>
                <w:ilvl w:val="0"/>
                <w:numId w:val="4"/>
              </w:numPr>
              <w:spacing w:line="240" w:lineRule="auto"/>
            </w:pPr>
            <w:r>
              <w:t>Henry, Chapter 9 “Mathematics and Mechanics: Galileo Galilei” (pp. 108-121)</w:t>
            </w:r>
          </w:p>
          <w:p w:rsidR="00B61093" w:rsidRDefault="00722250">
            <w:pPr>
              <w:numPr>
                <w:ilvl w:val="0"/>
                <w:numId w:val="4"/>
              </w:numPr>
              <w:spacing w:line="240" w:lineRule="auto"/>
            </w:pPr>
            <w:r>
              <w:lastRenderedPageBreak/>
              <w:t xml:space="preserve">William </w:t>
            </w:r>
            <w:proofErr w:type="spellStart"/>
            <w:r>
              <w:t>Shea</w:t>
            </w:r>
            <w:proofErr w:type="spellEnd"/>
            <w:r>
              <w:t xml:space="preserve"> &amp; Mariano Artigas, </w:t>
            </w:r>
            <w:r>
              <w:rPr>
                <w:i/>
              </w:rPr>
              <w:t>Galileo in Rome: The Rise and Fall of a Troublesome Genius</w:t>
            </w:r>
            <w:r>
              <w:t xml:space="preserve"> (Oxford UP, 2004), selections </w:t>
            </w:r>
          </w:p>
          <w:p w:rsidR="00B61093" w:rsidRDefault="00722250">
            <w:pPr>
              <w:numPr>
                <w:ilvl w:val="0"/>
                <w:numId w:val="4"/>
              </w:numPr>
              <w:spacing w:line="240" w:lineRule="auto"/>
            </w:pPr>
            <w:r>
              <w:t xml:space="preserve">Primary Source: Galileo’s </w:t>
            </w:r>
            <w:r>
              <w:rPr>
                <w:i/>
              </w:rPr>
              <w:t xml:space="preserve">Letter to the </w:t>
            </w:r>
            <w:proofErr w:type="spellStart"/>
            <w:r>
              <w:rPr>
                <w:i/>
              </w:rPr>
              <w:t>Granduchess</w:t>
            </w:r>
            <w:proofErr w:type="spellEnd"/>
            <w:r>
              <w:rPr>
                <w:i/>
              </w:rPr>
              <w:t xml:space="preserve"> Christina</w:t>
            </w:r>
            <w:r>
              <w:t>, selections</w:t>
            </w:r>
          </w:p>
          <w:p w:rsidR="00B61093" w:rsidRDefault="00B61093">
            <w:pPr>
              <w:spacing w:line="240" w:lineRule="auto"/>
              <w:rPr>
                <w:b/>
              </w:rPr>
            </w:pPr>
          </w:p>
          <w:p w:rsidR="00B61093" w:rsidRDefault="00722250">
            <w:pPr>
              <w:spacing w:line="240" w:lineRule="auto"/>
            </w:pPr>
            <w:r>
              <w:t>Nature and machines: Descartes’ view of nature, God, mind and body</w:t>
            </w:r>
          </w:p>
          <w:p w:rsidR="00B61093" w:rsidRDefault="00722250">
            <w:pPr>
              <w:numPr>
                <w:ilvl w:val="0"/>
                <w:numId w:val="4"/>
              </w:numPr>
              <w:spacing w:line="240" w:lineRule="auto"/>
            </w:pPr>
            <w:r>
              <w:t>Henry, Chapter 11 “The Spirit of the System: René Descartes and the Mechanical Philosophy” (pp.129-139)</w:t>
            </w:r>
          </w:p>
          <w:p w:rsidR="00B61093" w:rsidRDefault="00722250">
            <w:pPr>
              <w:numPr>
                <w:ilvl w:val="0"/>
                <w:numId w:val="4"/>
              </w:numPr>
              <w:spacing w:line="240" w:lineRule="auto"/>
            </w:pPr>
            <w:r>
              <w:t xml:space="preserve">Descartes, </w:t>
            </w:r>
            <w:r>
              <w:rPr>
                <w:i/>
              </w:rPr>
              <w:t>Discourse on Method</w:t>
            </w:r>
            <w:r>
              <w:t>, selections</w:t>
            </w:r>
          </w:p>
          <w:p w:rsidR="00B61093" w:rsidRDefault="00B61093">
            <w:pPr>
              <w:spacing w:line="240" w:lineRule="auto"/>
            </w:pPr>
          </w:p>
          <w:p w:rsidR="00B61093" w:rsidRDefault="00722250">
            <w:pPr>
              <w:spacing w:line="240" w:lineRule="auto"/>
            </w:pPr>
            <w:r>
              <w:t xml:space="preserve">The Scientific Revolution and European discovery &amp; exploration of the world: The Ancients vs. The Moderns </w:t>
            </w:r>
          </w:p>
          <w:p w:rsidR="00B61093" w:rsidRDefault="00722250">
            <w:pPr>
              <w:numPr>
                <w:ilvl w:val="0"/>
                <w:numId w:val="4"/>
              </w:numPr>
              <w:spacing w:line="240" w:lineRule="auto"/>
            </w:pPr>
            <w:r>
              <w:t xml:space="preserve"> Anthony Grafton, </w:t>
            </w:r>
            <w:r>
              <w:rPr>
                <w:i/>
              </w:rPr>
              <w:t xml:space="preserve">New Worlds; Ancient Texts: The Power of Tradition and the Shock of Discovery </w:t>
            </w:r>
            <w:r>
              <w:t xml:space="preserve">(Belknap, 1995), selections </w:t>
            </w:r>
          </w:p>
          <w:p w:rsidR="00B61093" w:rsidRDefault="00722250">
            <w:pPr>
              <w:numPr>
                <w:ilvl w:val="0"/>
                <w:numId w:val="4"/>
              </w:numPr>
              <w:spacing w:line="240" w:lineRule="auto"/>
            </w:pPr>
            <w:r>
              <w:t xml:space="preserve">Primary Source: Francis Bacon, </w:t>
            </w:r>
            <w:r>
              <w:rPr>
                <w:i/>
              </w:rPr>
              <w:t>New Atlantis</w:t>
            </w:r>
            <w:r>
              <w:t xml:space="preserve">, selections </w:t>
            </w:r>
          </w:p>
          <w:p w:rsidR="00B61093" w:rsidRDefault="00B61093">
            <w:pPr>
              <w:spacing w:line="240" w:lineRule="auto"/>
            </w:pPr>
          </w:p>
          <w:p w:rsidR="00B61093" w:rsidRDefault="00722250">
            <w:pPr>
              <w:spacing w:line="240" w:lineRule="auto"/>
            </w:pPr>
            <w:r>
              <w:t xml:space="preserve">Experimental philosophies and Scientific Societies </w:t>
            </w:r>
          </w:p>
          <w:p w:rsidR="00B61093" w:rsidRDefault="00722250">
            <w:pPr>
              <w:numPr>
                <w:ilvl w:val="0"/>
                <w:numId w:val="4"/>
              </w:numPr>
              <w:spacing w:line="240" w:lineRule="auto"/>
            </w:pPr>
            <w:r>
              <w:t>Henry, Chapter 12 “The Royal Society and Experimental Philosophy” (pp. 140-147)</w:t>
            </w:r>
          </w:p>
          <w:p w:rsidR="00B61093" w:rsidRDefault="00722250">
            <w:pPr>
              <w:numPr>
                <w:ilvl w:val="0"/>
                <w:numId w:val="4"/>
              </w:numPr>
              <w:spacing w:line="240" w:lineRule="auto"/>
            </w:pPr>
            <w:r>
              <w:t xml:space="preserve">Primary Source: Thomas Sprat, </w:t>
            </w:r>
            <w:r>
              <w:rPr>
                <w:i/>
              </w:rPr>
              <w:t>History of the Royal Society</w:t>
            </w:r>
            <w:r>
              <w:t xml:space="preserve">, selections  </w:t>
            </w:r>
          </w:p>
          <w:p w:rsidR="00B61093" w:rsidRDefault="00B61093">
            <w:pPr>
              <w:spacing w:line="240" w:lineRule="auto"/>
            </w:pPr>
          </w:p>
          <w:p w:rsidR="00B61093" w:rsidRDefault="00722250">
            <w:pPr>
              <w:spacing w:line="240" w:lineRule="auto"/>
            </w:pPr>
            <w:r>
              <w:t xml:space="preserve">Isaac Newton: The Enlightenment champion of reason or magician? </w:t>
            </w:r>
          </w:p>
          <w:p w:rsidR="00B61093" w:rsidRDefault="00722250">
            <w:pPr>
              <w:numPr>
                <w:ilvl w:val="0"/>
                <w:numId w:val="4"/>
              </w:numPr>
              <w:spacing w:line="240" w:lineRule="auto"/>
            </w:pPr>
            <w:r>
              <w:t>Henry, Chapter 13 “Experiment, Mathematics, and Magic: Isaac Newton”; Chapter 14 “Newtonian Enlightenment”; Chapter 15 “The Chemical Revolution: Priestly, Lavoisier; John Dalton and Beyond” (pp. 148-184)</w:t>
            </w:r>
          </w:p>
          <w:p w:rsidR="00B61093" w:rsidRDefault="00722250">
            <w:pPr>
              <w:spacing w:line="240" w:lineRule="auto"/>
            </w:pPr>
            <w:r>
              <w:t xml:space="preserve">The controversy of male midwifery </w:t>
            </w:r>
          </w:p>
          <w:p w:rsidR="00B61093" w:rsidRDefault="00722250">
            <w:pPr>
              <w:spacing w:line="240" w:lineRule="auto"/>
            </w:pPr>
            <w:r>
              <w:t>Understanding the natural world: change and design in nature</w:t>
            </w:r>
          </w:p>
          <w:p w:rsidR="00B61093" w:rsidRDefault="00722250">
            <w:pPr>
              <w:numPr>
                <w:ilvl w:val="0"/>
                <w:numId w:val="4"/>
              </w:numPr>
              <w:spacing w:line="240" w:lineRule="auto"/>
            </w:pPr>
            <w:r>
              <w:t>Henry, Chapter 16 “Newtonian Optimism: Natural Theology and Natural Order”; Chapter 17 “The Making of Geology: From James Hutton to Charles Lyell”; Chapter 18 “The History of Plants and Animals: Successive Emergence of Evolution” (pp. 185-212)</w:t>
            </w:r>
          </w:p>
          <w:p w:rsidR="00B61093" w:rsidRDefault="00722250">
            <w:pPr>
              <w:spacing w:line="240" w:lineRule="auto"/>
            </w:pPr>
            <w:r>
              <w:t xml:space="preserve">Enlightenment, industrialization and nature </w:t>
            </w:r>
          </w:p>
          <w:p w:rsidR="00B61093" w:rsidRDefault="00722250">
            <w:pPr>
              <w:numPr>
                <w:ilvl w:val="0"/>
                <w:numId w:val="4"/>
              </w:numPr>
              <w:spacing w:line="240" w:lineRule="auto"/>
            </w:pPr>
            <w:r>
              <w:t xml:space="preserve">Andrew Cunningham and Nicholas Jardine, </w:t>
            </w:r>
            <w:r>
              <w:rPr>
                <w:i/>
              </w:rPr>
              <w:t>Romanticism and the Sciences</w:t>
            </w:r>
            <w:r>
              <w:t xml:space="preserve"> (Cambridge, 1990) </w:t>
            </w:r>
          </w:p>
          <w:p w:rsidR="00B61093" w:rsidRDefault="00722250">
            <w:pPr>
              <w:numPr>
                <w:ilvl w:val="0"/>
                <w:numId w:val="4"/>
              </w:numPr>
              <w:spacing w:line="240" w:lineRule="auto"/>
            </w:pPr>
            <w:r>
              <w:t xml:space="preserve">Alexander von Humboldt, selections </w:t>
            </w:r>
          </w:p>
          <w:p w:rsidR="00B61093" w:rsidRDefault="00B61093">
            <w:pPr>
              <w:spacing w:line="240" w:lineRule="auto"/>
            </w:pPr>
          </w:p>
          <w:p w:rsidR="00B61093" w:rsidRDefault="00722250">
            <w:pPr>
              <w:spacing w:line="240" w:lineRule="auto"/>
            </w:pPr>
            <w:r>
              <w:rPr>
                <w:i/>
              </w:rPr>
              <w:t>The Vestiges of Natural History of Creation</w:t>
            </w:r>
            <w:r>
              <w:t xml:space="preserve">: The controversy of evolution before Charles Darwin </w:t>
            </w:r>
          </w:p>
          <w:p w:rsidR="00B61093" w:rsidRDefault="00722250">
            <w:pPr>
              <w:numPr>
                <w:ilvl w:val="0"/>
                <w:numId w:val="5"/>
              </w:numPr>
              <w:spacing w:line="240" w:lineRule="auto"/>
            </w:pPr>
            <w:r>
              <w:t xml:space="preserve">Henry, Chapter 19 “Religion and Progress in Victorian Britain: Robert Chambers </w:t>
            </w:r>
            <w:proofErr w:type="gramStart"/>
            <w:r>
              <w:t>versus  Hugh</w:t>
            </w:r>
            <w:proofErr w:type="gramEnd"/>
            <w:r>
              <w:t xml:space="preserve"> Miller” (pp. 222-230)</w:t>
            </w:r>
          </w:p>
          <w:p w:rsidR="00B61093" w:rsidRDefault="00722250">
            <w:pPr>
              <w:numPr>
                <w:ilvl w:val="0"/>
                <w:numId w:val="5"/>
              </w:numPr>
              <w:spacing w:line="240" w:lineRule="auto"/>
            </w:pPr>
            <w:r>
              <w:t xml:space="preserve">James A. Secord, </w:t>
            </w:r>
            <w:r>
              <w:rPr>
                <w:i/>
              </w:rPr>
              <w:t xml:space="preserve">Victorian Sensation: The Extraordinary Publication, Reception, and Secret Publication of the Vestiges of the </w:t>
            </w:r>
            <w:proofErr w:type="gramStart"/>
            <w:r>
              <w:rPr>
                <w:i/>
              </w:rPr>
              <w:t>Natural  History</w:t>
            </w:r>
            <w:proofErr w:type="gramEnd"/>
            <w:r>
              <w:rPr>
                <w:i/>
              </w:rPr>
              <w:t xml:space="preserve"> of Creation</w:t>
            </w:r>
            <w:r>
              <w:t xml:space="preserve"> (University of Chicago, 2003), selections </w:t>
            </w:r>
          </w:p>
          <w:p w:rsidR="00B61093" w:rsidRDefault="00722250">
            <w:pPr>
              <w:numPr>
                <w:ilvl w:val="0"/>
                <w:numId w:val="5"/>
              </w:numPr>
              <w:spacing w:line="240" w:lineRule="auto"/>
            </w:pPr>
            <w:r>
              <w:rPr>
                <w:i/>
              </w:rPr>
              <w:t>Vestiges</w:t>
            </w:r>
            <w:r>
              <w:t xml:space="preserve">, Selections </w:t>
            </w:r>
          </w:p>
          <w:p w:rsidR="00B61093" w:rsidRDefault="00B61093">
            <w:pPr>
              <w:spacing w:line="240" w:lineRule="auto"/>
            </w:pPr>
          </w:p>
          <w:p w:rsidR="00B61093" w:rsidRDefault="00722250">
            <w:pPr>
              <w:spacing w:line="240" w:lineRule="auto"/>
            </w:pPr>
            <w:r>
              <w:t xml:space="preserve">Charles Darwin: the man, methods, and his vision of nature </w:t>
            </w:r>
          </w:p>
          <w:p w:rsidR="00B61093" w:rsidRDefault="00722250">
            <w:pPr>
              <w:numPr>
                <w:ilvl w:val="0"/>
                <w:numId w:val="5"/>
              </w:numPr>
              <w:spacing w:line="240" w:lineRule="auto"/>
            </w:pPr>
            <w:r>
              <w:t>Henry, Chapter 20 “Bringing it All Together? Charles Darwin’s Evolution” (pp. 231-240)</w:t>
            </w:r>
          </w:p>
          <w:p w:rsidR="00B61093" w:rsidRDefault="00722250">
            <w:pPr>
              <w:numPr>
                <w:ilvl w:val="0"/>
                <w:numId w:val="5"/>
              </w:numPr>
              <w:spacing w:line="240" w:lineRule="auto"/>
            </w:pPr>
            <w:r>
              <w:t xml:space="preserve">Janet Browne, </w:t>
            </w:r>
            <w:r>
              <w:rPr>
                <w:i/>
              </w:rPr>
              <w:t>Charles Darwin: A Biography, volume 2- The Power of Place</w:t>
            </w:r>
            <w:r>
              <w:t xml:space="preserve"> (Princeton University Press, 2003), selections </w:t>
            </w:r>
          </w:p>
          <w:p w:rsidR="00B61093" w:rsidRDefault="00722250">
            <w:pPr>
              <w:numPr>
                <w:ilvl w:val="0"/>
                <w:numId w:val="5"/>
              </w:numPr>
              <w:spacing w:line="240" w:lineRule="auto"/>
            </w:pPr>
            <w:r>
              <w:t xml:space="preserve">Primary Source: Charles Darwin, </w:t>
            </w:r>
            <w:r>
              <w:rPr>
                <w:i/>
              </w:rPr>
              <w:t>Voyages</w:t>
            </w:r>
            <w:r>
              <w:t xml:space="preserve">, selections; Darwin, </w:t>
            </w:r>
            <w:r>
              <w:rPr>
                <w:i/>
              </w:rPr>
              <w:t>Descent of Man</w:t>
            </w:r>
            <w:r>
              <w:t xml:space="preserve"> Selections </w:t>
            </w:r>
          </w:p>
          <w:p w:rsidR="00B61093" w:rsidRDefault="00B61093">
            <w:pPr>
              <w:spacing w:line="240" w:lineRule="auto"/>
            </w:pPr>
          </w:p>
          <w:p w:rsidR="00B61093" w:rsidRDefault="00722250">
            <w:pPr>
              <w:spacing w:line="240" w:lineRule="auto"/>
            </w:pPr>
            <w:r>
              <w:t>Society, culture and views of nature after Darwin</w:t>
            </w:r>
          </w:p>
          <w:p w:rsidR="00B61093" w:rsidRDefault="00722250">
            <w:pPr>
              <w:numPr>
                <w:ilvl w:val="0"/>
                <w:numId w:val="5"/>
              </w:numPr>
              <w:spacing w:line="240" w:lineRule="auto"/>
            </w:pPr>
            <w:r>
              <w:t>Henry, Chapter 21 “Darwinian Aftermaths: Religion, Social Science, Biology” (pp. 241-260)</w:t>
            </w:r>
          </w:p>
          <w:p w:rsidR="00B61093" w:rsidRDefault="00722250">
            <w:pPr>
              <w:numPr>
                <w:ilvl w:val="0"/>
                <w:numId w:val="5"/>
              </w:numPr>
              <w:spacing w:line="240" w:lineRule="auto"/>
            </w:pPr>
            <w:r>
              <w:t xml:space="preserve">Constance </w:t>
            </w:r>
            <w:proofErr w:type="spellStart"/>
            <w:r>
              <w:t>Areson</w:t>
            </w:r>
            <w:proofErr w:type="spellEnd"/>
            <w:r>
              <w:t xml:space="preserve"> Clark, “Evolution for John Doe: Pictures, the Public, and the Scopes Trial Debate” in </w:t>
            </w:r>
            <w:r>
              <w:rPr>
                <w:i/>
              </w:rPr>
              <w:t>The Journal of American History</w:t>
            </w:r>
            <w:r>
              <w:t>, Vol. 87, No. 4. (Mar., 2001), pp. 1275-1303. (JSTOR)</w:t>
            </w:r>
          </w:p>
          <w:p w:rsidR="00B61093" w:rsidRDefault="00722250">
            <w:pPr>
              <w:numPr>
                <w:ilvl w:val="0"/>
                <w:numId w:val="5"/>
              </w:numPr>
              <w:spacing w:line="240" w:lineRule="auto"/>
            </w:pPr>
            <w:r>
              <w:lastRenderedPageBreak/>
              <w:t xml:space="preserve">Primary Sources: select cartoons and images of Darwin </w:t>
            </w:r>
          </w:p>
          <w:p w:rsidR="00B61093" w:rsidRDefault="00B61093">
            <w:pPr>
              <w:spacing w:line="240" w:lineRule="auto"/>
            </w:pPr>
          </w:p>
          <w:p w:rsidR="00B61093" w:rsidRDefault="00722250">
            <w:pPr>
              <w:spacing w:line="240" w:lineRule="auto"/>
            </w:pPr>
            <w:r>
              <w:t>Contagion: John Snow, Cholera, and the urban life in 19</w:t>
            </w:r>
            <w:r>
              <w:rPr>
                <w:vertAlign w:val="superscript"/>
              </w:rPr>
              <w:t>th</w:t>
            </w:r>
            <w:r>
              <w:t>-Century London</w:t>
            </w:r>
          </w:p>
          <w:p w:rsidR="00B61093" w:rsidRDefault="00722250">
            <w:pPr>
              <w:numPr>
                <w:ilvl w:val="0"/>
                <w:numId w:val="9"/>
              </w:numPr>
              <w:spacing w:line="240" w:lineRule="auto"/>
              <w:rPr>
                <w:b/>
              </w:rPr>
            </w:pPr>
            <w:r>
              <w:t xml:space="preserve">Sandra Hempel, </w:t>
            </w:r>
            <w:r>
              <w:rPr>
                <w:i/>
              </w:rPr>
              <w:t>The Strange Case of the Broad Street Pump: John Snow and the Mystery of Cholera</w:t>
            </w:r>
            <w:r>
              <w:t xml:space="preserve"> (University of California Press, 2007) selections </w:t>
            </w:r>
          </w:p>
          <w:p w:rsidR="00B61093" w:rsidRDefault="00722250">
            <w:pPr>
              <w:numPr>
                <w:ilvl w:val="0"/>
                <w:numId w:val="9"/>
              </w:numPr>
              <w:spacing w:line="240" w:lineRule="auto"/>
            </w:pPr>
            <w:r>
              <w:t xml:space="preserve">Primary Sources: Snow’s maps, competing theories of disease </w:t>
            </w:r>
            <w:hyperlink r:id="rId9">
              <w:r>
                <w:rPr>
                  <w:color w:val="0000FF"/>
                  <w:u w:val="single"/>
                </w:rPr>
                <w:t>http://www.ph.ucla.edu/epi/snow.html</w:t>
              </w:r>
            </w:hyperlink>
            <w:r>
              <w:t xml:space="preserve"> </w:t>
            </w:r>
          </w:p>
          <w:p w:rsidR="00B61093" w:rsidRDefault="00B61093">
            <w:pPr>
              <w:spacing w:line="240" w:lineRule="auto"/>
            </w:pPr>
          </w:p>
          <w:p w:rsidR="00B61093" w:rsidRDefault="00722250">
            <w:pPr>
              <w:spacing w:line="240" w:lineRule="auto"/>
            </w:pPr>
            <w:r>
              <w:t xml:space="preserve">Science, race, eugenics, genetics  </w:t>
            </w:r>
          </w:p>
          <w:p w:rsidR="00B61093" w:rsidRDefault="00722250">
            <w:pPr>
              <w:numPr>
                <w:ilvl w:val="0"/>
                <w:numId w:val="6"/>
              </w:numPr>
              <w:spacing w:line="240" w:lineRule="auto"/>
            </w:pPr>
            <w:r>
              <w:t xml:space="preserve">Stephen Jay Gould, “American </w:t>
            </w:r>
            <w:proofErr w:type="spellStart"/>
            <w:r>
              <w:t>Polygeny</w:t>
            </w:r>
            <w:proofErr w:type="spellEnd"/>
            <w:r>
              <w:t xml:space="preserve"> and Craniometry before Darwin,” in The </w:t>
            </w:r>
            <w:proofErr w:type="spellStart"/>
            <w:r>
              <w:t>Mismeasure</w:t>
            </w:r>
            <w:proofErr w:type="spellEnd"/>
            <w:r>
              <w:t xml:space="preserve"> of Man (Norton, 1996) </w:t>
            </w:r>
          </w:p>
          <w:p w:rsidR="00B61093" w:rsidRDefault="00722250">
            <w:pPr>
              <w:numPr>
                <w:ilvl w:val="0"/>
                <w:numId w:val="6"/>
              </w:numPr>
              <w:spacing w:line="240" w:lineRule="auto"/>
            </w:pPr>
            <w:r>
              <w:t xml:space="preserve">Eugenics, TBA </w:t>
            </w:r>
          </w:p>
          <w:p w:rsidR="00B61093" w:rsidRDefault="00722250">
            <w:pPr>
              <w:numPr>
                <w:ilvl w:val="0"/>
                <w:numId w:val="9"/>
              </w:numPr>
              <w:spacing w:line="240" w:lineRule="auto"/>
              <w:rPr>
                <w:b/>
              </w:rPr>
            </w:pPr>
            <w:r>
              <w:t>Primary Sources</w:t>
            </w:r>
          </w:p>
          <w:p w:rsidR="00B61093" w:rsidRDefault="00B61093">
            <w:pPr>
              <w:spacing w:line="240" w:lineRule="auto"/>
            </w:pPr>
          </w:p>
          <w:p w:rsidR="00B61093" w:rsidRDefault="00722250">
            <w:pPr>
              <w:spacing w:line="240" w:lineRule="auto"/>
            </w:pPr>
            <w:r>
              <w:t xml:space="preserve">New visions of the body: X-Ray Technology  </w:t>
            </w:r>
          </w:p>
          <w:p w:rsidR="00B61093" w:rsidRDefault="00722250">
            <w:pPr>
              <w:numPr>
                <w:ilvl w:val="0"/>
                <w:numId w:val="6"/>
              </w:numPr>
              <w:spacing w:line="240" w:lineRule="auto"/>
              <w:rPr>
                <w:i/>
              </w:rPr>
            </w:pPr>
            <w:proofErr w:type="spellStart"/>
            <w:r>
              <w:t>Bettyanne</w:t>
            </w:r>
            <w:proofErr w:type="spellEnd"/>
            <w:r>
              <w:t xml:space="preserve"> H. </w:t>
            </w:r>
            <w:proofErr w:type="spellStart"/>
            <w:r>
              <w:t>Kevles</w:t>
            </w:r>
            <w:proofErr w:type="spellEnd"/>
            <w:r>
              <w:t xml:space="preserve">, </w:t>
            </w:r>
            <w:r>
              <w:rPr>
                <w:i/>
              </w:rPr>
              <w:t>Naked to the Bone: Medical Imaging in the 20</w:t>
            </w:r>
            <w:r>
              <w:rPr>
                <w:i/>
                <w:vertAlign w:val="superscript"/>
              </w:rPr>
              <w:t>th</w:t>
            </w:r>
            <w:r>
              <w:rPr>
                <w:i/>
              </w:rPr>
              <w:t xml:space="preserve"> Century</w:t>
            </w:r>
            <w:r>
              <w:t xml:space="preserve"> (Basic Books, 1998) selections </w:t>
            </w:r>
          </w:p>
          <w:p w:rsidR="00B61093" w:rsidRDefault="00722250">
            <w:pPr>
              <w:numPr>
                <w:ilvl w:val="0"/>
                <w:numId w:val="6"/>
              </w:numPr>
              <w:spacing w:line="240" w:lineRule="auto"/>
              <w:rPr>
                <w:i/>
              </w:rPr>
            </w:pPr>
            <w:r>
              <w:t xml:space="preserve">Rebecca </w:t>
            </w:r>
            <w:proofErr w:type="spellStart"/>
            <w:r>
              <w:t>Herzig</w:t>
            </w:r>
            <w:proofErr w:type="spellEnd"/>
            <w:r>
              <w:rPr>
                <w:i/>
              </w:rPr>
              <w:t xml:space="preserve">, “In the Name of Science: Suffering, Sacrifice, and the Formation of American Roentgenology” </w:t>
            </w:r>
            <w:r>
              <w:t>(JSTOR)</w:t>
            </w:r>
          </w:p>
          <w:p w:rsidR="00B61093" w:rsidRDefault="00B61093">
            <w:pPr>
              <w:spacing w:line="240" w:lineRule="auto"/>
              <w:rPr>
                <w:i/>
              </w:rPr>
            </w:pPr>
          </w:p>
          <w:p w:rsidR="00B61093" w:rsidRDefault="00722250">
            <w:pPr>
              <w:spacing w:line="240" w:lineRule="auto"/>
            </w:pPr>
            <w:r>
              <w:t xml:space="preserve">Medicine and pain </w:t>
            </w:r>
          </w:p>
          <w:p w:rsidR="00B61093" w:rsidRDefault="00722250">
            <w:pPr>
              <w:numPr>
                <w:ilvl w:val="0"/>
                <w:numId w:val="6"/>
              </w:numPr>
              <w:spacing w:line="240" w:lineRule="auto"/>
            </w:pPr>
            <w:r>
              <w:t xml:space="preserve">Stephanie J. Snow, </w:t>
            </w:r>
            <w:r>
              <w:rPr>
                <w:i/>
              </w:rPr>
              <w:t xml:space="preserve">Blessed Days of </w:t>
            </w:r>
            <w:proofErr w:type="spellStart"/>
            <w:r>
              <w:rPr>
                <w:i/>
              </w:rPr>
              <w:t>Anaesthesia</w:t>
            </w:r>
            <w:proofErr w:type="spellEnd"/>
            <w:r>
              <w:rPr>
                <w:i/>
              </w:rPr>
              <w:t xml:space="preserve">: How </w:t>
            </w:r>
            <w:proofErr w:type="spellStart"/>
            <w:r>
              <w:rPr>
                <w:i/>
              </w:rPr>
              <w:t>Anaesthetics</w:t>
            </w:r>
            <w:proofErr w:type="spellEnd"/>
            <w:r>
              <w:rPr>
                <w:i/>
              </w:rPr>
              <w:t xml:space="preserve"> Changed the World </w:t>
            </w:r>
            <w:r>
              <w:t xml:space="preserve">(Oxford UP, 2009), selections </w:t>
            </w:r>
          </w:p>
          <w:p w:rsidR="00B61093" w:rsidRDefault="00B61093">
            <w:pPr>
              <w:spacing w:line="240" w:lineRule="auto"/>
            </w:pPr>
          </w:p>
          <w:p w:rsidR="00B61093" w:rsidRDefault="00722250">
            <w:pPr>
              <w:spacing w:line="240" w:lineRule="auto"/>
            </w:pPr>
            <w:r>
              <w:t xml:space="preserve">The age of the atom </w:t>
            </w:r>
          </w:p>
          <w:p w:rsidR="00B61093" w:rsidRDefault="00722250">
            <w:pPr>
              <w:numPr>
                <w:ilvl w:val="0"/>
                <w:numId w:val="6"/>
              </w:numPr>
              <w:spacing w:line="240" w:lineRule="auto"/>
            </w:pPr>
            <w:r>
              <w:t xml:space="preserve">Henry, Chapter 22 “Beyond Newton: Energy and Thermodynamics”; Chapter 23 </w:t>
            </w:r>
            <w:proofErr w:type="gramStart"/>
            <w:r>
              <w:t>“ Newton</w:t>
            </w:r>
            <w:proofErr w:type="gramEnd"/>
            <w:r>
              <w:t xml:space="preserve"> Deposed: Einstein and Relativity Theory”; Chapter 24 “Mathematics Instead of a World Picture: From Atomism to Quantum Theory” (pp. 261-294)</w:t>
            </w:r>
          </w:p>
          <w:p w:rsidR="00B61093" w:rsidRDefault="00722250">
            <w:pPr>
              <w:numPr>
                <w:ilvl w:val="0"/>
                <w:numId w:val="6"/>
              </w:numPr>
              <w:spacing w:line="240" w:lineRule="auto"/>
            </w:pPr>
            <w:r>
              <w:t>David Lindley</w:t>
            </w:r>
            <w:r>
              <w:rPr>
                <w:i/>
              </w:rPr>
              <w:t xml:space="preserve">, Uncertainty: Einstein, Heisenberg, Bohr and the Struggle </w:t>
            </w:r>
            <w:r>
              <w:rPr>
                <w:i/>
              </w:rPr>
              <w:tab/>
            </w:r>
            <w:r>
              <w:rPr>
                <w:i/>
              </w:rPr>
              <w:tab/>
            </w:r>
            <w:r>
              <w:rPr>
                <w:i/>
              </w:rPr>
              <w:tab/>
              <w:t xml:space="preserve">for the Soul of Science </w:t>
            </w:r>
            <w:r>
              <w:t xml:space="preserve">(Anchor, 2008) selections </w:t>
            </w:r>
          </w:p>
          <w:p w:rsidR="00B61093" w:rsidRDefault="00B61093">
            <w:pPr>
              <w:spacing w:line="240" w:lineRule="auto"/>
            </w:pPr>
          </w:p>
          <w:p w:rsidR="00B61093" w:rsidRDefault="00722250">
            <w:pPr>
              <w:spacing w:line="240" w:lineRule="auto"/>
            </w:pPr>
            <w:r>
              <w:t xml:space="preserve">The bomb: enthusiasm and anxiety in the age of modern science </w:t>
            </w:r>
          </w:p>
          <w:p w:rsidR="00B61093" w:rsidRDefault="00B61093">
            <w:pPr>
              <w:spacing w:line="240" w:lineRule="auto"/>
            </w:pPr>
          </w:p>
          <w:p w:rsidR="00B61093" w:rsidRDefault="00722250">
            <w:pPr>
              <w:spacing w:line="240" w:lineRule="auto"/>
            </w:pPr>
            <w:r>
              <w:t xml:space="preserve">Climate change: intersections between science, politics, and consumption </w:t>
            </w:r>
          </w:p>
          <w:p w:rsidR="00B61093" w:rsidRDefault="00B61093">
            <w:pPr>
              <w:spacing w:line="240" w:lineRule="auto"/>
            </w:pPr>
          </w:p>
          <w:p w:rsidR="00B61093" w:rsidRDefault="00722250">
            <w:pPr>
              <w:spacing w:line="240" w:lineRule="auto"/>
            </w:pPr>
            <w:r>
              <w:t>The Genome &amp; genetics</w:t>
            </w:r>
          </w:p>
          <w:p w:rsidR="00B61093" w:rsidRDefault="00B61093">
            <w:pPr>
              <w:spacing w:line="240" w:lineRule="auto"/>
            </w:pPr>
          </w:p>
          <w:p w:rsidR="00B61093" w:rsidRDefault="00B61093">
            <w:pPr>
              <w:spacing w:line="240" w:lineRule="auto"/>
            </w:pPr>
          </w:p>
        </w:tc>
      </w:tr>
    </w:tbl>
    <w:p w:rsidR="00B61093" w:rsidRDefault="00B61093">
      <w:pPr>
        <w:pStyle w:val="Heading2"/>
        <w:jc w:val="left"/>
      </w:pPr>
    </w:p>
    <w:p w:rsidR="00B61093" w:rsidRDefault="00B61093">
      <w:pPr>
        <w:pStyle w:val="Heading2"/>
        <w:jc w:val="left"/>
      </w:pPr>
    </w:p>
    <w:p w:rsidR="00B61093" w:rsidRDefault="00B61093">
      <w:bookmarkStart w:id="22" w:name="_GoBack"/>
      <w:bookmarkEnd w:id="22"/>
    </w:p>
    <w:p w:rsidR="00B61093" w:rsidRDefault="00B61093"/>
    <w:p w:rsidR="00B61093" w:rsidRDefault="00B61093"/>
    <w:p w:rsidR="00B61093" w:rsidRDefault="00B61093"/>
    <w:p w:rsidR="00B61093" w:rsidRDefault="00722250">
      <w:pPr>
        <w:pStyle w:val="Heading2"/>
        <w:jc w:val="left"/>
      </w:pPr>
      <w:r>
        <w:lastRenderedPageBreak/>
        <w:t>D. Signatures</w:t>
      </w:r>
    </w:p>
    <w:p w:rsidR="00B61093" w:rsidRDefault="00722250">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rsidR="00B61093" w:rsidRDefault="00722250">
      <w:pPr>
        <w:numPr>
          <w:ilvl w:val="0"/>
          <w:numId w:val="3"/>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B61093" w:rsidRDefault="00722250">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rsidR="00B61093" w:rsidRDefault="00722250">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rsidR="00B61093" w:rsidRDefault="00722250">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10">
        <w:r>
          <w:rPr>
            <w:color w:val="0000FF"/>
            <w:u w:val="single"/>
          </w:rPr>
          <w:t>curriculum@ric.edu</w:t>
        </w:r>
      </w:hyperlink>
      <w:r>
        <w:rPr>
          <w:color w:val="000000"/>
        </w:rPr>
        <w:t xml:space="preserve"> and a printed or electronic signature copy of this form to the current Chair of UCC. Check UCC website for due dates.</w:t>
      </w:r>
    </w:p>
    <w:p w:rsidR="00B61093" w:rsidRDefault="00B61093">
      <w:pPr>
        <w:pStyle w:val="Heading5"/>
      </w:pPr>
    </w:p>
    <w:p w:rsidR="00B61093" w:rsidRDefault="00722250">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B61093">
        <w:tc>
          <w:tcPr>
            <w:tcW w:w="3168" w:type="dxa"/>
            <w:vAlign w:val="center"/>
          </w:tcPr>
          <w:p w:rsidR="00B61093" w:rsidRDefault="00722250">
            <w:pPr>
              <w:pStyle w:val="Heading5"/>
              <w:jc w:val="center"/>
            </w:pPr>
            <w:r>
              <w:t>Name</w:t>
            </w:r>
          </w:p>
        </w:tc>
        <w:tc>
          <w:tcPr>
            <w:tcW w:w="3254" w:type="dxa"/>
            <w:vAlign w:val="center"/>
          </w:tcPr>
          <w:p w:rsidR="00B61093" w:rsidRDefault="00722250">
            <w:pPr>
              <w:pStyle w:val="Heading5"/>
              <w:jc w:val="center"/>
            </w:pPr>
            <w:r>
              <w:t>Position/affiliation</w:t>
            </w:r>
          </w:p>
        </w:tc>
        <w:tc>
          <w:tcPr>
            <w:tcW w:w="3197" w:type="dxa"/>
            <w:vAlign w:val="center"/>
          </w:tcPr>
          <w:p w:rsidR="00B61093" w:rsidRDefault="00A00F2F">
            <w:pPr>
              <w:pStyle w:val="Heading5"/>
              <w:jc w:val="center"/>
            </w:pPr>
            <w:hyperlink w:anchor="_3tbugp1">
              <w:r w:rsidR="00722250">
                <w:rPr>
                  <w:color w:val="0000FF"/>
                  <w:u w:val="single"/>
                </w:rPr>
                <w:t>Signature</w:t>
              </w:r>
            </w:hyperlink>
          </w:p>
        </w:tc>
        <w:tc>
          <w:tcPr>
            <w:tcW w:w="1161" w:type="dxa"/>
            <w:vAlign w:val="center"/>
          </w:tcPr>
          <w:p w:rsidR="00B61093" w:rsidRDefault="00722250">
            <w:pPr>
              <w:pStyle w:val="Heading5"/>
              <w:jc w:val="center"/>
            </w:pPr>
            <w:r>
              <w:t>Date</w:t>
            </w:r>
          </w:p>
        </w:tc>
      </w:tr>
      <w:tr w:rsidR="00B61093">
        <w:trPr>
          <w:trHeight w:val="480"/>
        </w:trPr>
        <w:tc>
          <w:tcPr>
            <w:tcW w:w="3168" w:type="dxa"/>
            <w:vAlign w:val="center"/>
          </w:tcPr>
          <w:p w:rsidR="00B61093" w:rsidRDefault="00722250">
            <w:pPr>
              <w:spacing w:line="240" w:lineRule="auto"/>
            </w:pPr>
            <w:r>
              <w:t>David Espinosa</w:t>
            </w:r>
          </w:p>
        </w:tc>
        <w:tc>
          <w:tcPr>
            <w:tcW w:w="3254" w:type="dxa"/>
            <w:vAlign w:val="center"/>
          </w:tcPr>
          <w:p w:rsidR="00B61093" w:rsidRDefault="00722250">
            <w:pPr>
              <w:spacing w:line="240" w:lineRule="auto"/>
            </w:pPr>
            <w:r>
              <w:t>Chair of History</w:t>
            </w:r>
          </w:p>
        </w:tc>
        <w:tc>
          <w:tcPr>
            <w:tcW w:w="3197" w:type="dxa"/>
            <w:vAlign w:val="center"/>
          </w:tcPr>
          <w:p w:rsidR="00B61093" w:rsidRDefault="00B61093">
            <w:pPr>
              <w:spacing w:line="240" w:lineRule="auto"/>
            </w:pPr>
          </w:p>
        </w:tc>
        <w:tc>
          <w:tcPr>
            <w:tcW w:w="1161" w:type="dxa"/>
            <w:vAlign w:val="center"/>
          </w:tcPr>
          <w:p w:rsidR="00B61093" w:rsidRDefault="00B61093">
            <w:pPr>
              <w:spacing w:line="240" w:lineRule="auto"/>
            </w:pPr>
          </w:p>
        </w:tc>
      </w:tr>
      <w:tr w:rsidR="00B61093">
        <w:trPr>
          <w:trHeight w:val="480"/>
        </w:trPr>
        <w:tc>
          <w:tcPr>
            <w:tcW w:w="3168" w:type="dxa"/>
            <w:vAlign w:val="center"/>
          </w:tcPr>
          <w:p w:rsidR="00B61093" w:rsidRDefault="00722250">
            <w:pPr>
              <w:spacing w:line="240" w:lineRule="auto"/>
            </w:pPr>
            <w:r>
              <w:t>Earl Simson</w:t>
            </w:r>
          </w:p>
        </w:tc>
        <w:tc>
          <w:tcPr>
            <w:tcW w:w="3254" w:type="dxa"/>
            <w:vAlign w:val="center"/>
          </w:tcPr>
          <w:p w:rsidR="00B61093" w:rsidRDefault="00722250">
            <w:pPr>
              <w:spacing w:line="240" w:lineRule="auto"/>
            </w:pPr>
            <w:r>
              <w:t>Dean of Arts and Sciences</w:t>
            </w:r>
          </w:p>
        </w:tc>
        <w:tc>
          <w:tcPr>
            <w:tcW w:w="3197" w:type="dxa"/>
            <w:vAlign w:val="center"/>
          </w:tcPr>
          <w:p w:rsidR="00B61093" w:rsidRDefault="00B61093">
            <w:pPr>
              <w:spacing w:line="240" w:lineRule="auto"/>
            </w:pPr>
          </w:p>
        </w:tc>
        <w:tc>
          <w:tcPr>
            <w:tcW w:w="1161" w:type="dxa"/>
            <w:vAlign w:val="center"/>
          </w:tcPr>
          <w:p w:rsidR="00B61093" w:rsidRDefault="00B61093">
            <w:pPr>
              <w:spacing w:line="240" w:lineRule="auto"/>
            </w:pPr>
          </w:p>
        </w:tc>
      </w:tr>
    </w:tbl>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693EC8" w:rsidTr="00665B75">
        <w:trPr>
          <w:trHeight w:val="480"/>
        </w:trPr>
        <w:tc>
          <w:tcPr>
            <w:tcW w:w="3168" w:type="dxa"/>
            <w:vAlign w:val="center"/>
          </w:tcPr>
          <w:p w:rsidR="00693EC8" w:rsidRDefault="00693EC8" w:rsidP="00665B75">
            <w:pPr>
              <w:spacing w:line="240" w:lineRule="auto"/>
            </w:pPr>
            <w:r>
              <w:t>Gerri August or Julie Horwitz</w:t>
            </w:r>
          </w:p>
        </w:tc>
        <w:tc>
          <w:tcPr>
            <w:tcW w:w="3254" w:type="dxa"/>
            <w:vAlign w:val="center"/>
          </w:tcPr>
          <w:p w:rsidR="00693EC8" w:rsidRDefault="00693EC8" w:rsidP="00665B75">
            <w:pPr>
              <w:spacing w:line="240" w:lineRule="auto"/>
            </w:pPr>
            <w:r>
              <w:t>Co-Interim Deans of FSEHD</w:t>
            </w:r>
          </w:p>
        </w:tc>
        <w:tc>
          <w:tcPr>
            <w:tcW w:w="3197" w:type="dxa"/>
            <w:vAlign w:val="center"/>
          </w:tcPr>
          <w:p w:rsidR="00693EC8" w:rsidRDefault="00693EC8" w:rsidP="00665B75">
            <w:pPr>
              <w:spacing w:line="240" w:lineRule="auto"/>
            </w:pPr>
          </w:p>
        </w:tc>
        <w:tc>
          <w:tcPr>
            <w:tcW w:w="1161" w:type="dxa"/>
            <w:vAlign w:val="center"/>
          </w:tcPr>
          <w:p w:rsidR="00693EC8" w:rsidRDefault="00693EC8" w:rsidP="00665B75">
            <w:pPr>
              <w:spacing w:line="240" w:lineRule="auto"/>
            </w:pPr>
          </w:p>
        </w:tc>
      </w:tr>
    </w:tbl>
    <w:tbl>
      <w:tblPr>
        <w:tblStyle w:val="TableGrid"/>
        <w:tblW w:w="4902" w:type="pct"/>
        <w:tblInd w:w="1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0"/>
        <w:gridCol w:w="3240"/>
        <w:gridCol w:w="3240"/>
        <w:gridCol w:w="1170"/>
      </w:tblGrid>
      <w:tr w:rsidR="00693EC8" w:rsidTr="00693EC8">
        <w:trPr>
          <w:cantSplit/>
          <w:trHeight w:val="489"/>
        </w:trPr>
        <w:tc>
          <w:tcPr>
            <w:tcW w:w="3150" w:type="dxa"/>
            <w:vAlign w:val="center"/>
          </w:tcPr>
          <w:p w:rsidR="00693EC8" w:rsidRPr="009A5197" w:rsidRDefault="00693EC8" w:rsidP="00665B75">
            <w:r w:rsidRPr="009A5197">
              <w:t>Jeffrey Mello</w:t>
            </w:r>
          </w:p>
        </w:tc>
        <w:tc>
          <w:tcPr>
            <w:tcW w:w="3240" w:type="dxa"/>
            <w:vAlign w:val="center"/>
          </w:tcPr>
          <w:p w:rsidR="00693EC8" w:rsidRPr="009A5197" w:rsidRDefault="00693EC8" w:rsidP="00665B75">
            <w:r w:rsidRPr="009A5197">
              <w:t>Dean of School of Business</w:t>
            </w:r>
          </w:p>
        </w:tc>
        <w:tc>
          <w:tcPr>
            <w:tcW w:w="3240" w:type="dxa"/>
            <w:vAlign w:val="center"/>
          </w:tcPr>
          <w:p w:rsidR="00693EC8" w:rsidRDefault="00693EC8" w:rsidP="00665B75"/>
        </w:tc>
        <w:tc>
          <w:tcPr>
            <w:tcW w:w="1170" w:type="dxa"/>
            <w:vAlign w:val="center"/>
          </w:tcPr>
          <w:p w:rsidR="00693EC8" w:rsidRDefault="00693EC8" w:rsidP="00665B75"/>
        </w:tc>
      </w:tr>
      <w:tr w:rsidR="00693EC8" w:rsidTr="00693EC8">
        <w:trPr>
          <w:cantSplit/>
          <w:trHeight w:val="489"/>
        </w:trPr>
        <w:tc>
          <w:tcPr>
            <w:tcW w:w="3150" w:type="dxa"/>
            <w:vAlign w:val="center"/>
          </w:tcPr>
          <w:p w:rsidR="00693EC8" w:rsidRPr="009A5197" w:rsidRDefault="00693EC8" w:rsidP="00665B75">
            <w:r w:rsidRPr="009A5197">
              <w:t xml:space="preserve">Debra </w:t>
            </w:r>
            <w:proofErr w:type="spellStart"/>
            <w:r w:rsidRPr="009A5197">
              <w:t>Servello</w:t>
            </w:r>
            <w:proofErr w:type="spellEnd"/>
          </w:p>
        </w:tc>
        <w:tc>
          <w:tcPr>
            <w:tcW w:w="3240" w:type="dxa"/>
            <w:vAlign w:val="center"/>
          </w:tcPr>
          <w:p w:rsidR="00693EC8" w:rsidRPr="009A5197" w:rsidRDefault="00693EC8" w:rsidP="00665B75">
            <w:r w:rsidRPr="009A5197">
              <w:t>Dean of School of Nursing</w:t>
            </w:r>
          </w:p>
        </w:tc>
        <w:tc>
          <w:tcPr>
            <w:tcW w:w="3240" w:type="dxa"/>
            <w:vAlign w:val="center"/>
          </w:tcPr>
          <w:p w:rsidR="00693EC8" w:rsidRDefault="00693EC8" w:rsidP="00665B75"/>
        </w:tc>
        <w:tc>
          <w:tcPr>
            <w:tcW w:w="1170" w:type="dxa"/>
            <w:vAlign w:val="center"/>
          </w:tcPr>
          <w:p w:rsidR="00693EC8" w:rsidRDefault="00693EC8" w:rsidP="00665B75"/>
        </w:tc>
      </w:tr>
      <w:tr w:rsidR="00693EC8" w:rsidTr="00693EC8">
        <w:trPr>
          <w:cantSplit/>
          <w:trHeight w:val="489"/>
        </w:trPr>
        <w:tc>
          <w:tcPr>
            <w:tcW w:w="3150" w:type="dxa"/>
            <w:vAlign w:val="center"/>
          </w:tcPr>
          <w:p w:rsidR="00693EC8" w:rsidRPr="009A5197" w:rsidRDefault="00693EC8" w:rsidP="00665B75">
            <w:r w:rsidRPr="009A5197">
              <w:t xml:space="preserve">Jayashree </w:t>
            </w:r>
            <w:proofErr w:type="spellStart"/>
            <w:r w:rsidRPr="009A5197">
              <w:t>Nimmagadda</w:t>
            </w:r>
            <w:proofErr w:type="spellEnd"/>
          </w:p>
        </w:tc>
        <w:tc>
          <w:tcPr>
            <w:tcW w:w="3240" w:type="dxa"/>
            <w:vAlign w:val="center"/>
          </w:tcPr>
          <w:p w:rsidR="00693EC8" w:rsidRPr="009A5197" w:rsidRDefault="00693EC8" w:rsidP="00665B75">
            <w:r w:rsidRPr="009A5197">
              <w:t>Dean of School of Social Work</w:t>
            </w:r>
          </w:p>
        </w:tc>
        <w:tc>
          <w:tcPr>
            <w:tcW w:w="3240" w:type="dxa"/>
            <w:vAlign w:val="center"/>
          </w:tcPr>
          <w:p w:rsidR="00693EC8" w:rsidRDefault="00693EC8" w:rsidP="00665B75"/>
        </w:tc>
        <w:tc>
          <w:tcPr>
            <w:tcW w:w="1170" w:type="dxa"/>
            <w:vAlign w:val="center"/>
          </w:tcPr>
          <w:p w:rsidR="00693EC8" w:rsidRDefault="00693EC8" w:rsidP="00665B75"/>
          <w:p w:rsidR="00693EC8" w:rsidRDefault="00693EC8" w:rsidP="00665B75"/>
        </w:tc>
      </w:tr>
      <w:tr w:rsidR="00693EC8" w:rsidTr="00693EC8">
        <w:trPr>
          <w:cantSplit/>
          <w:trHeight w:val="489"/>
        </w:trPr>
        <w:tc>
          <w:tcPr>
            <w:tcW w:w="3150" w:type="dxa"/>
            <w:vAlign w:val="center"/>
          </w:tcPr>
          <w:p w:rsidR="00693EC8" w:rsidRPr="009A5197" w:rsidRDefault="00693EC8" w:rsidP="00665B75">
            <w:r>
              <w:t>Jim Magyar</w:t>
            </w:r>
          </w:p>
        </w:tc>
        <w:tc>
          <w:tcPr>
            <w:tcW w:w="3240" w:type="dxa"/>
            <w:vAlign w:val="center"/>
          </w:tcPr>
          <w:p w:rsidR="00693EC8" w:rsidRPr="009A5197" w:rsidRDefault="00693EC8" w:rsidP="00665B75">
            <w:r>
              <w:t>Chair of COGE</w:t>
            </w:r>
          </w:p>
        </w:tc>
        <w:tc>
          <w:tcPr>
            <w:tcW w:w="3240" w:type="dxa"/>
            <w:vAlign w:val="center"/>
          </w:tcPr>
          <w:p w:rsidR="00693EC8" w:rsidRDefault="00693EC8" w:rsidP="00665B75"/>
        </w:tc>
        <w:tc>
          <w:tcPr>
            <w:tcW w:w="1170" w:type="dxa"/>
            <w:vAlign w:val="center"/>
          </w:tcPr>
          <w:p w:rsidR="00693EC8" w:rsidRDefault="00693EC8" w:rsidP="00665B75"/>
        </w:tc>
      </w:tr>
    </w:tbl>
    <w:p w:rsidR="00B61093" w:rsidRDefault="00B61093">
      <w:pPr>
        <w:pStyle w:val="Heading5"/>
      </w:pPr>
    </w:p>
    <w:p w:rsidR="00B61093" w:rsidRDefault="00722250">
      <w:pPr>
        <w:pStyle w:val="Heading5"/>
        <w:rPr>
          <w:color w:val="0000FF"/>
          <w:u w:val="single"/>
        </w:rPr>
      </w:pPr>
      <w:r>
        <w:t xml:space="preserve">D.2. </w:t>
      </w:r>
      <w:hyperlink w:anchor="147n2zr">
        <w:r>
          <w:rPr>
            <w:color w:val="0000FF"/>
            <w:u w:val="single"/>
          </w:rPr>
          <w:t>Acknowledgements</w:t>
        </w:r>
      </w:hyperlink>
      <w:bookmarkStart w:id="23" w:name="147n2zr" w:colFirst="0" w:colLast="0"/>
      <w:bookmarkEnd w:id="23"/>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B61093">
        <w:tc>
          <w:tcPr>
            <w:tcW w:w="3168" w:type="dxa"/>
            <w:vAlign w:val="center"/>
          </w:tcPr>
          <w:p w:rsidR="00B61093" w:rsidRDefault="00722250">
            <w:pPr>
              <w:pStyle w:val="Heading5"/>
              <w:jc w:val="center"/>
            </w:pPr>
            <w:r>
              <w:t>Name</w:t>
            </w:r>
          </w:p>
        </w:tc>
        <w:tc>
          <w:tcPr>
            <w:tcW w:w="3254" w:type="dxa"/>
            <w:vAlign w:val="center"/>
          </w:tcPr>
          <w:p w:rsidR="00B61093" w:rsidRDefault="00722250">
            <w:pPr>
              <w:pStyle w:val="Heading5"/>
              <w:jc w:val="center"/>
            </w:pPr>
            <w:r>
              <w:t>Position/affiliation</w:t>
            </w:r>
          </w:p>
        </w:tc>
        <w:tc>
          <w:tcPr>
            <w:tcW w:w="3197" w:type="dxa"/>
            <w:vAlign w:val="center"/>
          </w:tcPr>
          <w:p w:rsidR="00B61093" w:rsidRDefault="00A00F2F">
            <w:pPr>
              <w:pStyle w:val="Heading5"/>
              <w:jc w:val="center"/>
              <w:rPr>
                <w:color w:val="0000FF"/>
                <w:u w:val="single"/>
              </w:rPr>
            </w:pPr>
            <w:hyperlink w:anchor="3o7alnk">
              <w:r w:rsidR="00722250">
                <w:rPr>
                  <w:color w:val="0000FF"/>
                  <w:u w:val="single"/>
                </w:rPr>
                <w:t>Signature</w:t>
              </w:r>
            </w:hyperlink>
            <w:bookmarkStart w:id="24" w:name="3o7alnk" w:colFirst="0" w:colLast="0"/>
            <w:bookmarkEnd w:id="24"/>
          </w:p>
        </w:tc>
        <w:tc>
          <w:tcPr>
            <w:tcW w:w="1161" w:type="dxa"/>
            <w:vAlign w:val="center"/>
          </w:tcPr>
          <w:p w:rsidR="00B61093" w:rsidRDefault="00722250">
            <w:pPr>
              <w:pStyle w:val="Heading5"/>
              <w:jc w:val="center"/>
            </w:pPr>
            <w:r>
              <w:t>Date</w:t>
            </w:r>
          </w:p>
        </w:tc>
      </w:tr>
      <w:tr w:rsidR="00B61093">
        <w:trPr>
          <w:trHeight w:val="480"/>
        </w:trPr>
        <w:tc>
          <w:tcPr>
            <w:tcW w:w="3168" w:type="dxa"/>
            <w:vAlign w:val="center"/>
          </w:tcPr>
          <w:p w:rsidR="00B61093" w:rsidRDefault="00722250">
            <w:pPr>
              <w:spacing w:line="240" w:lineRule="auto"/>
            </w:pPr>
            <w:r>
              <w:t xml:space="preserve">Lesley </w:t>
            </w:r>
            <w:proofErr w:type="spellStart"/>
            <w:r>
              <w:t>Bogad</w:t>
            </w:r>
            <w:proofErr w:type="spellEnd"/>
          </w:p>
        </w:tc>
        <w:tc>
          <w:tcPr>
            <w:tcW w:w="3254" w:type="dxa"/>
            <w:vAlign w:val="center"/>
          </w:tcPr>
          <w:p w:rsidR="00B61093" w:rsidRDefault="00722250">
            <w:pPr>
              <w:spacing w:line="240" w:lineRule="auto"/>
            </w:pPr>
            <w:r>
              <w:t>Chair of Educational Studies</w:t>
            </w:r>
          </w:p>
        </w:tc>
        <w:tc>
          <w:tcPr>
            <w:tcW w:w="3197" w:type="dxa"/>
            <w:vAlign w:val="center"/>
          </w:tcPr>
          <w:p w:rsidR="00B61093" w:rsidRDefault="00B61093">
            <w:pPr>
              <w:spacing w:line="240" w:lineRule="auto"/>
            </w:pPr>
          </w:p>
        </w:tc>
        <w:tc>
          <w:tcPr>
            <w:tcW w:w="1161" w:type="dxa"/>
            <w:vAlign w:val="center"/>
          </w:tcPr>
          <w:p w:rsidR="00B61093" w:rsidRDefault="00B61093">
            <w:pPr>
              <w:spacing w:line="240" w:lineRule="auto"/>
            </w:pPr>
          </w:p>
        </w:tc>
      </w:tr>
    </w:tbl>
    <w:p w:rsidR="00B61093" w:rsidRDefault="00B61093"/>
    <w:sectPr w:rsidR="00B6109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F2F" w:rsidRDefault="00A00F2F">
      <w:pPr>
        <w:spacing w:line="240" w:lineRule="auto"/>
      </w:pPr>
      <w:r>
        <w:separator/>
      </w:r>
    </w:p>
  </w:endnote>
  <w:endnote w:type="continuationSeparator" w:id="0">
    <w:p w:rsidR="00A00F2F" w:rsidRDefault="00A00F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93" w:rsidRDefault="00B6109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93" w:rsidRDefault="00722250">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630B99">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630B99">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93" w:rsidRDefault="00B6109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F2F" w:rsidRDefault="00A00F2F">
      <w:pPr>
        <w:spacing w:line="240" w:lineRule="auto"/>
      </w:pPr>
      <w:r>
        <w:separator/>
      </w:r>
    </w:p>
  </w:footnote>
  <w:footnote w:type="continuationSeparator" w:id="0">
    <w:p w:rsidR="00A00F2F" w:rsidRDefault="00A00F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93" w:rsidRDefault="00B6109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93" w:rsidRDefault="00722250">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A16ECF">
      <w:rPr>
        <w:color w:val="4F6228"/>
      </w:rPr>
      <w:t>18-19-188</w:t>
    </w:r>
    <w:r>
      <w:rPr>
        <w:color w:val="4F6228"/>
      </w:rPr>
      <w:tab/>
    </w:r>
    <w:r>
      <w:rPr>
        <w:color w:val="4F6228"/>
      </w:rPr>
      <w:tab/>
      <w:t>Date Received:</w:t>
    </w:r>
    <w:r w:rsidR="00A16ECF">
      <w:rPr>
        <w:color w:val="4F6228"/>
      </w:rPr>
      <w:t>3/15/2019</w:t>
    </w:r>
    <w:r>
      <w:rPr>
        <w:color w:val="4F6228"/>
      </w:rPr>
      <w:tab/>
    </w:r>
    <w:r>
      <w:rPr>
        <w:color w:val="4F6228"/>
      </w:rPr>
      <w:tab/>
    </w:r>
    <w:r>
      <w:rPr>
        <w:color w:val="4F6228"/>
      </w:rPr>
      <w:tab/>
    </w:r>
  </w:p>
  <w:p w:rsidR="00B61093" w:rsidRDefault="00B61093">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93" w:rsidRDefault="00B6109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57F9"/>
    <w:multiLevelType w:val="hybridMultilevel"/>
    <w:tmpl w:val="FFCC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52B5"/>
    <w:multiLevelType w:val="multilevel"/>
    <w:tmpl w:val="3F96B0B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396E61F7"/>
    <w:multiLevelType w:val="multilevel"/>
    <w:tmpl w:val="1668176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3B2B27BE"/>
    <w:multiLevelType w:val="multilevel"/>
    <w:tmpl w:val="B846C52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434E5167"/>
    <w:multiLevelType w:val="multilevel"/>
    <w:tmpl w:val="3F2AC29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4B2F7D12"/>
    <w:multiLevelType w:val="multilevel"/>
    <w:tmpl w:val="D0CCE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01170D"/>
    <w:multiLevelType w:val="multilevel"/>
    <w:tmpl w:val="F3EAE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5C3AC6"/>
    <w:multiLevelType w:val="multilevel"/>
    <w:tmpl w:val="D5DAAD32"/>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CF40959"/>
    <w:multiLevelType w:val="multilevel"/>
    <w:tmpl w:val="B5B21A6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704976A0"/>
    <w:multiLevelType w:val="multilevel"/>
    <w:tmpl w:val="4418C86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7F9D7A0D"/>
    <w:multiLevelType w:val="multilevel"/>
    <w:tmpl w:val="16B6A11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7"/>
  </w:num>
  <w:num w:numId="2">
    <w:abstractNumId w:val="10"/>
  </w:num>
  <w:num w:numId="3">
    <w:abstractNumId w:val="5"/>
  </w:num>
  <w:num w:numId="4">
    <w:abstractNumId w:val="1"/>
  </w:num>
  <w:num w:numId="5">
    <w:abstractNumId w:val="4"/>
  </w:num>
  <w:num w:numId="6">
    <w:abstractNumId w:val="9"/>
  </w:num>
  <w:num w:numId="7">
    <w:abstractNumId w:val="8"/>
  </w:num>
  <w:num w:numId="8">
    <w:abstractNumId w:val="2"/>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61093"/>
    <w:rsid w:val="00063951"/>
    <w:rsid w:val="002D587B"/>
    <w:rsid w:val="00311EBA"/>
    <w:rsid w:val="003B3ED4"/>
    <w:rsid w:val="00630B99"/>
    <w:rsid w:val="00693EC8"/>
    <w:rsid w:val="00722250"/>
    <w:rsid w:val="00A00F2F"/>
    <w:rsid w:val="00A16ECF"/>
    <w:rsid w:val="00B61093"/>
    <w:rsid w:val="00C65D19"/>
    <w:rsid w:val="00F4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8D26B"/>
  <w15:docId w15:val="{224E30A1-132C-3143-BBF9-72C99A9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styleId="TableGrid">
    <w:name w:val="Table Grid"/>
    <w:basedOn w:val="TableNormal"/>
    <w:uiPriority w:val="99"/>
    <w:rsid w:val="00693EC8"/>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11EBA"/>
    <w:rPr>
      <w:rFonts w:cs="Times New Roman"/>
      <w:color w:val="0000FF"/>
      <w:u w:val="single"/>
    </w:rPr>
  </w:style>
  <w:style w:type="paragraph" w:styleId="ListParagraph">
    <w:name w:val="List Paragraph"/>
    <w:basedOn w:val="Normal"/>
    <w:uiPriority w:val="99"/>
    <w:qFormat/>
    <w:rsid w:val="00311EBA"/>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urriculum@ric.ed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ph.ucla.edu/epi/snow.html" TargetMode="Externa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67Z3ZXSPZZWZ-949-865</_dlc_DocId>
    <_dlc_DocIdUrl xmlns="67887a43-7e4d-4c1c-91d7-15e417b1b8ab">
      <Url>https://w3.ric.edu/curriculum_committee/_layouts/15/DocIdRedir.aspx?ID=67Z3ZXSPZZWZ-949-865</Url>
      <Description>67Z3ZXSPZZWZ-949-865</Description>
    </_dlc_DocIdUrl>
  </documentManagement>
</p:properties>
</file>

<file path=customXml/itemProps1.xml><?xml version="1.0" encoding="utf-8"?>
<ds:datastoreItem xmlns:ds="http://schemas.openxmlformats.org/officeDocument/2006/customXml" ds:itemID="{92A1D66F-3716-4403-B43D-89C621A081D6}"/>
</file>

<file path=customXml/itemProps2.xml><?xml version="1.0" encoding="utf-8"?>
<ds:datastoreItem xmlns:ds="http://schemas.openxmlformats.org/officeDocument/2006/customXml" ds:itemID="{A886DB87-E212-4F10-9C22-1A8EB5A07EF8}"/>
</file>

<file path=customXml/itemProps3.xml><?xml version="1.0" encoding="utf-8"?>
<ds:datastoreItem xmlns:ds="http://schemas.openxmlformats.org/officeDocument/2006/customXml" ds:itemID="{D1414134-36FD-4BA2-B625-34D222A175D2}"/>
</file>

<file path=customXml/itemProps4.xml><?xml version="1.0" encoding="utf-8"?>
<ds:datastoreItem xmlns:ds="http://schemas.openxmlformats.org/officeDocument/2006/customXml" ds:itemID="{50C43F67-E056-44CC-92A1-17577159D227}"/>
</file>

<file path=docProps/app.xml><?xml version="1.0" encoding="utf-8"?>
<Properties xmlns="http://schemas.openxmlformats.org/officeDocument/2006/extended-properties" xmlns:vt="http://schemas.openxmlformats.org/officeDocument/2006/docPropsVTypes">
  <Template>Normal.dotm</Template>
  <TotalTime>24</TotalTime>
  <Pages>7</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6</cp:revision>
  <dcterms:created xsi:type="dcterms:W3CDTF">2019-03-15T15:33:00Z</dcterms:created>
  <dcterms:modified xsi:type="dcterms:W3CDTF">2019-03-30T14:27:00Z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a487c862-f9a9-42f2-b44a-c1e2b6be1ba9</vt:lpwstr>
  </property>
</Properties>
</file>