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C93" w:rsidRDefault="003C7058" w:rsidP="0073065F">
      <w:pPr>
        <w:pStyle w:val="Heading1"/>
        <w:ind w:right="720"/>
        <w:jc w:val="left"/>
      </w:pPr>
      <w:r>
        <w:rPr>
          <w:noProof/>
        </w:rPr>
        <w:drawing>
          <wp:anchor distT="0" distB="0" distL="114300" distR="114300" simplePos="0" relativeHeight="251658240" behindDoc="0" locked="0" layoutInCell="1" hidden="0" allowOverlap="1">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F37C93" w:rsidRDefault="003C7058">
      <w:pPr>
        <w:pStyle w:val="Heading1"/>
      </w:pPr>
      <w:r>
        <w:t>UNDERGRADUATE CURRICULUM COMMITTEE (UCC</w:t>
      </w:r>
      <w:r w:rsidR="00F75EF1">
        <w:t xml:space="preserve">) </w:t>
      </w:r>
      <w:r>
        <w:br/>
        <w:t>PROPOSAL FORM</w:t>
      </w:r>
    </w:p>
    <w:p w:rsidR="00F37C93" w:rsidRDefault="003C7058">
      <w:pPr>
        <w:pStyle w:val="Heading2"/>
        <w:numPr>
          <w:ilvl w:val="0"/>
          <w:numId w:val="3"/>
        </w:numPr>
        <w:jc w:val="left"/>
        <w:rPr>
          <w:color w:val="0000FF"/>
          <w:sz w:val="18"/>
          <w:szCs w:val="18"/>
          <w:u w:val="single"/>
        </w:rPr>
      </w:pPr>
      <w:r>
        <w:t>Cover page</w:t>
      </w:r>
      <w:r>
        <w:tab/>
      </w:r>
      <w:r>
        <w:rPr>
          <w:color w:val="000000"/>
          <w:sz w:val="18"/>
          <w:szCs w:val="18"/>
        </w:rPr>
        <w:t xml:space="preserve">scroll over blue text to see further important </w:t>
      </w:r>
      <w:hyperlink w:anchor="vx1227">
        <w:r>
          <w:rPr>
            <w:color w:val="0000FF"/>
            <w:sz w:val="18"/>
            <w:szCs w:val="18"/>
            <w:u w:val="single"/>
          </w:rPr>
          <w:t>instructions</w:t>
        </w:r>
      </w:hyperlink>
      <w:r>
        <w:rPr>
          <w:color w:val="0000FF"/>
          <w:sz w:val="18"/>
          <w:szCs w:val="18"/>
          <w:u w:val="single"/>
        </w:rPr>
        <w:t>:</w:t>
      </w:r>
      <w:r>
        <w:t xml:space="preserve"> </w:t>
      </w:r>
      <w:r>
        <w:rPr>
          <w:sz w:val="20"/>
          <w:szCs w:val="20"/>
        </w:rPr>
        <w:t>please read.</w:t>
      </w:r>
    </w:p>
    <w:p w:rsidR="00F37C93" w:rsidRDefault="003C7058">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F37C93" w:rsidRDefault="003C7058">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F37C93">
        <w:tc>
          <w:tcPr>
            <w:tcW w:w="2447" w:type="dxa"/>
            <w:vAlign w:val="center"/>
          </w:tcPr>
          <w:p w:rsidR="00F37C93" w:rsidRDefault="003C7058">
            <w:bookmarkStart w:id="0" w:name="1fob9te" w:colFirst="0" w:colLast="0"/>
            <w:bookmarkStart w:id="1" w:name="3znysh7" w:colFirst="0" w:colLast="0"/>
            <w:bookmarkStart w:id="2" w:name="2et92p0" w:colFirst="0" w:colLast="0"/>
            <w:bookmarkStart w:id="3" w:name="3dy6vkm" w:colFirst="0" w:colLast="0"/>
            <w:bookmarkEnd w:id="0"/>
            <w:bookmarkEnd w:id="1"/>
            <w:bookmarkEnd w:id="2"/>
            <w:bookmarkEnd w:id="3"/>
            <w:r>
              <w:t xml:space="preserve">A.1. </w:t>
            </w:r>
            <w:hyperlink w:anchor="gjdgxs">
              <w:r>
                <w:rPr>
                  <w:color w:val="0000FF"/>
                  <w:u w:val="single"/>
                </w:rPr>
                <w:t>Course or program</w:t>
              </w:r>
            </w:hyperlink>
          </w:p>
        </w:tc>
        <w:tc>
          <w:tcPr>
            <w:tcW w:w="8280" w:type="dxa"/>
            <w:gridSpan w:val="4"/>
          </w:tcPr>
          <w:p w:rsidR="00F37C93" w:rsidRDefault="003C7058">
            <w:pPr>
              <w:pStyle w:val="Heading5"/>
              <w:rPr>
                <w:b/>
              </w:rPr>
            </w:pPr>
            <w:r>
              <w:rPr>
                <w:b/>
              </w:rPr>
              <w:t>HPE 403 Environmental health</w:t>
            </w:r>
          </w:p>
        </w:tc>
        <w:tc>
          <w:tcPr>
            <w:tcW w:w="289" w:type="dxa"/>
            <w:vMerge w:val="restart"/>
          </w:tcPr>
          <w:p w:rsidR="00F37C93" w:rsidRDefault="00F37C93">
            <w:pPr>
              <w:spacing w:line="240" w:lineRule="auto"/>
              <w:rPr>
                <w:b/>
              </w:rPr>
            </w:pPr>
            <w:bookmarkStart w:id="4" w:name="_30j0zll" w:colFirst="0" w:colLast="0"/>
            <w:bookmarkEnd w:id="4"/>
          </w:p>
        </w:tc>
      </w:tr>
      <w:tr w:rsidR="00F37C93">
        <w:tc>
          <w:tcPr>
            <w:tcW w:w="2447" w:type="dxa"/>
            <w:vAlign w:val="center"/>
          </w:tcPr>
          <w:p w:rsidR="00F37C93" w:rsidRDefault="00CA4A41">
            <w:pPr>
              <w:jc w:val="right"/>
            </w:pPr>
            <w:hyperlink w:anchor="3znysh7">
              <w:r w:rsidR="003C7058">
                <w:rPr>
                  <w:color w:val="0000FF"/>
                  <w:u w:val="single"/>
                </w:rPr>
                <w:t>Replacing</w:t>
              </w:r>
            </w:hyperlink>
            <w:r w:rsidR="003C7058">
              <w:t xml:space="preserve"> </w:t>
            </w:r>
          </w:p>
        </w:tc>
        <w:tc>
          <w:tcPr>
            <w:tcW w:w="8280" w:type="dxa"/>
            <w:gridSpan w:val="4"/>
          </w:tcPr>
          <w:p w:rsidR="00F37C93" w:rsidRDefault="00F37C93">
            <w:pPr>
              <w:pStyle w:val="Heading5"/>
              <w:rPr>
                <w:b/>
              </w:rPr>
            </w:pPr>
          </w:p>
        </w:tc>
        <w:tc>
          <w:tcPr>
            <w:tcW w:w="289" w:type="dxa"/>
            <w:vMerge/>
          </w:tcPr>
          <w:p w:rsidR="00F37C93" w:rsidRDefault="00F37C93">
            <w:pPr>
              <w:widowControl w:val="0"/>
              <w:pBdr>
                <w:top w:val="nil"/>
                <w:left w:val="nil"/>
                <w:bottom w:val="nil"/>
                <w:right w:val="nil"/>
                <w:between w:val="nil"/>
              </w:pBdr>
              <w:spacing w:line="276" w:lineRule="auto"/>
              <w:rPr>
                <w:b/>
              </w:rPr>
            </w:pPr>
          </w:p>
        </w:tc>
      </w:tr>
      <w:tr w:rsidR="00F37C93">
        <w:tc>
          <w:tcPr>
            <w:tcW w:w="2447" w:type="dxa"/>
            <w:vAlign w:val="center"/>
          </w:tcPr>
          <w:p w:rsidR="00F37C93" w:rsidRDefault="003C7058">
            <w:r>
              <w:t xml:space="preserve">A.2. </w:t>
            </w:r>
            <w:hyperlink w:anchor="2et92p0">
              <w:r>
                <w:rPr>
                  <w:color w:val="0000FF"/>
                  <w:u w:val="single"/>
                </w:rPr>
                <w:t>Proposal type</w:t>
              </w:r>
            </w:hyperlink>
          </w:p>
        </w:tc>
        <w:tc>
          <w:tcPr>
            <w:tcW w:w="8280" w:type="dxa"/>
            <w:gridSpan w:val="4"/>
          </w:tcPr>
          <w:p w:rsidR="00F37C93" w:rsidRDefault="007542AF">
            <w:pPr>
              <w:rPr>
                <w:b/>
              </w:rPr>
            </w:pPr>
            <w:r>
              <w:rPr>
                <w:b/>
              </w:rPr>
              <w:t>Course:  Creation |</w:t>
            </w:r>
          </w:p>
          <w:p w:rsidR="00F37C93" w:rsidRDefault="00F37C93">
            <w:pPr>
              <w:rPr>
                <w:b/>
              </w:rPr>
            </w:pPr>
          </w:p>
        </w:tc>
        <w:tc>
          <w:tcPr>
            <w:tcW w:w="289" w:type="dxa"/>
            <w:vMerge/>
          </w:tcPr>
          <w:p w:rsidR="00F37C93" w:rsidRDefault="00F37C93">
            <w:pPr>
              <w:widowControl w:val="0"/>
              <w:pBdr>
                <w:top w:val="nil"/>
                <w:left w:val="nil"/>
                <w:bottom w:val="nil"/>
                <w:right w:val="nil"/>
                <w:between w:val="nil"/>
              </w:pBdr>
              <w:spacing w:line="276" w:lineRule="auto"/>
              <w:rPr>
                <w:b/>
              </w:rPr>
            </w:pPr>
          </w:p>
        </w:tc>
      </w:tr>
      <w:tr w:rsidR="00F37C93">
        <w:tc>
          <w:tcPr>
            <w:tcW w:w="2447" w:type="dxa"/>
            <w:vAlign w:val="center"/>
          </w:tcPr>
          <w:p w:rsidR="00F37C93" w:rsidRDefault="003C7058">
            <w:r>
              <w:t xml:space="preserve">A.3. </w:t>
            </w:r>
            <w:hyperlink w:anchor="tyjcwt">
              <w:r>
                <w:rPr>
                  <w:color w:val="0000FF"/>
                  <w:u w:val="single"/>
                </w:rPr>
                <w:t>Originator</w:t>
              </w:r>
            </w:hyperlink>
          </w:p>
        </w:tc>
        <w:tc>
          <w:tcPr>
            <w:tcW w:w="2556" w:type="dxa"/>
          </w:tcPr>
          <w:p w:rsidR="00F37C93" w:rsidRDefault="003C7058">
            <w:pPr>
              <w:rPr>
                <w:b/>
              </w:rPr>
            </w:pPr>
            <w:r>
              <w:rPr>
                <w:b/>
              </w:rPr>
              <w:t>Elizabeth S. England-Kennedy</w:t>
            </w:r>
            <w:bookmarkStart w:id="5" w:name="tyjcwt" w:colFirst="0" w:colLast="0"/>
            <w:bookmarkEnd w:id="5"/>
          </w:p>
        </w:tc>
        <w:tc>
          <w:tcPr>
            <w:tcW w:w="2666" w:type="dxa"/>
          </w:tcPr>
          <w:p w:rsidR="00F37C93" w:rsidRDefault="007542AF">
            <w:r>
              <w:t>Home department</w:t>
            </w:r>
          </w:p>
        </w:tc>
        <w:tc>
          <w:tcPr>
            <w:tcW w:w="3347" w:type="dxa"/>
            <w:gridSpan w:val="3"/>
          </w:tcPr>
          <w:p w:rsidR="00F37C93" w:rsidRDefault="007542AF">
            <w:pPr>
              <w:rPr>
                <w:b/>
              </w:rPr>
            </w:pPr>
            <w:r>
              <w:t>Health and Physical Education</w:t>
            </w:r>
          </w:p>
        </w:tc>
      </w:tr>
      <w:tr w:rsidR="00F37C93">
        <w:tc>
          <w:tcPr>
            <w:tcW w:w="2447" w:type="dxa"/>
            <w:vAlign w:val="center"/>
          </w:tcPr>
          <w:p w:rsidR="00F37C93" w:rsidRDefault="003C7058">
            <w:r>
              <w:t xml:space="preserve">A.4. </w:t>
            </w:r>
            <w:hyperlink w:anchor="1t3h5sf">
              <w:r>
                <w:rPr>
                  <w:color w:val="0000FF"/>
                  <w:u w:val="single"/>
                </w:rPr>
                <w:t>Context and Rationale</w:t>
              </w:r>
            </w:hyperlink>
            <w:r>
              <w:rPr>
                <w:color w:val="0000FF"/>
                <w:u w:val="single"/>
              </w:rPr>
              <w:t xml:space="preserve"> </w:t>
            </w:r>
          </w:p>
        </w:tc>
        <w:tc>
          <w:tcPr>
            <w:tcW w:w="8569" w:type="dxa"/>
            <w:gridSpan w:val="5"/>
          </w:tcPr>
          <w:p w:rsidR="00F37C93" w:rsidRDefault="003C7058">
            <w:pPr>
              <w:rPr>
                <w:color w:val="444444"/>
                <w:highlight w:val="yellow"/>
              </w:rPr>
            </w:pPr>
            <w:r>
              <w:rPr>
                <w:b/>
                <w:color w:val="444444"/>
                <w:highlight w:val="white"/>
              </w:rPr>
              <w:t>Rationale for Change</w:t>
            </w:r>
            <w:r>
              <w:rPr>
                <w:color w:val="444444"/>
                <w:highlight w:val="white"/>
              </w:rPr>
              <w:t xml:space="preserve">: The Community and Public Health </w:t>
            </w:r>
            <w:r w:rsidR="00BA7D70">
              <w:rPr>
                <w:color w:val="444444"/>
                <w:highlight w:val="white"/>
              </w:rPr>
              <w:t xml:space="preserve">Promotion </w:t>
            </w:r>
            <w:bookmarkStart w:id="6" w:name="_GoBack"/>
            <w:bookmarkEnd w:id="6"/>
            <w:r>
              <w:rPr>
                <w:color w:val="444444"/>
                <w:highlight w:val="white"/>
              </w:rPr>
              <w:t>concentration in the BS in CHW program of study is being revised to better prepare students for entry-level positions in the field.  This course will allow students in the BS in CHW with a concentration in Community and Public Health</w:t>
            </w:r>
            <w:r w:rsidR="00EA31E2">
              <w:rPr>
                <w:color w:val="444444"/>
                <w:highlight w:val="white"/>
              </w:rPr>
              <w:t xml:space="preserve"> Promotion</w:t>
            </w:r>
            <w:r>
              <w:rPr>
                <w:color w:val="444444"/>
                <w:highlight w:val="white"/>
              </w:rPr>
              <w:t xml:space="preserve"> (CPH</w:t>
            </w:r>
            <w:r w:rsidR="00EA31E2">
              <w:rPr>
                <w:color w:val="444444"/>
                <w:highlight w:val="white"/>
              </w:rPr>
              <w:t>P</w:t>
            </w:r>
            <w:r>
              <w:rPr>
                <w:color w:val="444444"/>
                <w:highlight w:val="white"/>
              </w:rPr>
              <w:t xml:space="preserve">) to acquire knowledge and skills vital for understanding the field of Environmental Health and its role in supporting community and public health through implementation of prevention and remediation programs, effective advocacy, and policy changes.  This course will provide students with the opportunity to examine environmental health conditions, programs and interventions, services, and health policies.  This will better prepare students for internships and employment in health organizations, agencies, and other employment positions focused on supporting community and public health.  </w:t>
            </w:r>
          </w:p>
          <w:p w:rsidR="00F37C93" w:rsidRDefault="00F37C93">
            <w:pPr>
              <w:rPr>
                <w:color w:val="444444"/>
                <w:highlight w:val="white"/>
              </w:rPr>
            </w:pPr>
          </w:p>
          <w:p w:rsidR="00F37C93" w:rsidRDefault="003C7058">
            <w:pPr>
              <w:rPr>
                <w:color w:val="444444"/>
                <w:highlight w:val="white"/>
              </w:rPr>
            </w:pPr>
            <w:r>
              <w:rPr>
                <w:b/>
                <w:color w:val="444444"/>
                <w:highlight w:val="white"/>
              </w:rPr>
              <w:t xml:space="preserve">Additional Context: </w:t>
            </w:r>
            <w:r>
              <w:rPr>
                <w:color w:val="444444"/>
                <w:highlight w:val="white"/>
              </w:rPr>
              <w:t>In addition, incorporating this course into the curriculum will facilitate our attaining CEPH accreditation for the program, as the criteria include a focus on environmental factors that impact human health.</w:t>
            </w:r>
          </w:p>
          <w:p w:rsidR="00F37C93" w:rsidRDefault="00F37C93">
            <w:pPr>
              <w:rPr>
                <w:color w:val="444444"/>
                <w:highlight w:val="white"/>
              </w:rPr>
            </w:pPr>
          </w:p>
          <w:p w:rsidR="00F37C93" w:rsidRDefault="003C7058">
            <w:pPr>
              <w:rPr>
                <w:color w:val="444444"/>
                <w:highlight w:val="white"/>
              </w:rPr>
            </w:pPr>
            <w:r>
              <w:t xml:space="preserve">Further, addition of this class to RIC’s course availability will support the college’s ongoing efforts to maintain its status as a Federally-recognized Green Ribbon School by supporting its efforts towards supporting Pillar 3: </w:t>
            </w:r>
            <w:r>
              <w:rPr>
                <w:rFonts w:ascii="Times New Roman" w:eastAsia="Times New Roman" w:hAnsi="Times New Roman" w:cs="Times New Roman"/>
                <w:sz w:val="24"/>
                <w:szCs w:val="24"/>
              </w:rPr>
              <w:t>“Provide effective environmental and sustainability education.”</w:t>
            </w:r>
          </w:p>
          <w:p w:rsidR="00F37C93" w:rsidRDefault="00F37C93"/>
        </w:tc>
      </w:tr>
      <w:tr w:rsidR="00F37C93">
        <w:tc>
          <w:tcPr>
            <w:tcW w:w="2447" w:type="dxa"/>
            <w:vAlign w:val="center"/>
          </w:tcPr>
          <w:p w:rsidR="00F37C93" w:rsidRDefault="003C7058">
            <w:r>
              <w:t xml:space="preserve">A.5. </w:t>
            </w:r>
            <w:hyperlink w:anchor="4d34og8">
              <w:r>
                <w:rPr>
                  <w:color w:val="0000FF"/>
                  <w:u w:val="single"/>
                </w:rPr>
                <w:t>Student impact</w:t>
              </w:r>
            </w:hyperlink>
          </w:p>
        </w:tc>
        <w:tc>
          <w:tcPr>
            <w:tcW w:w="8569" w:type="dxa"/>
            <w:gridSpan w:val="5"/>
          </w:tcPr>
          <w:p w:rsidR="00F37C93" w:rsidRDefault="003C7058">
            <w:r>
              <w:t xml:space="preserve">Students will have the opportunity to broaden their knowledge and expand their opportunities for employment and graduate work in the fields of community and public health. Students in all majors will have enriched opportunities for </w:t>
            </w:r>
            <w:r w:rsidRPr="007542AF">
              <w:t>enhancing their</w:t>
            </w:r>
            <w:r>
              <w:rPr>
                <w:b/>
              </w:rPr>
              <w:t xml:space="preserve"> </w:t>
            </w:r>
            <w:r>
              <w:t xml:space="preserve">knowledge related to creating, sustaining, and maintaining of healthy environments. </w:t>
            </w:r>
          </w:p>
        </w:tc>
      </w:tr>
      <w:tr w:rsidR="00F37C93">
        <w:tc>
          <w:tcPr>
            <w:tcW w:w="2447" w:type="dxa"/>
            <w:vAlign w:val="center"/>
          </w:tcPr>
          <w:p w:rsidR="00F37C93" w:rsidRDefault="003C7058">
            <w:r>
              <w:t xml:space="preserve">A.6. </w:t>
            </w:r>
            <w:hyperlink w:anchor="3fwokq0">
              <w:r>
                <w:rPr>
                  <w:color w:val="0000FF"/>
                  <w:u w:val="single"/>
                </w:rPr>
                <w:t>Impact on other programs</w:t>
              </w:r>
            </w:hyperlink>
            <w:r>
              <w:t xml:space="preserve"> </w:t>
            </w:r>
          </w:p>
        </w:tc>
        <w:tc>
          <w:tcPr>
            <w:tcW w:w="8569" w:type="dxa"/>
            <w:gridSpan w:val="5"/>
          </w:tcPr>
          <w:p w:rsidR="00F37C93" w:rsidRDefault="003C7058">
            <w:r>
              <w:t xml:space="preserve">The course will be available as an elective for other RIC students and will require a </w:t>
            </w:r>
            <w:proofErr w:type="gramStart"/>
            <w:r>
              <w:t>45 cr.</w:t>
            </w:r>
            <w:proofErr w:type="gramEnd"/>
            <w:r>
              <w:t xml:space="preserve"> prerequisite. </w:t>
            </w:r>
          </w:p>
        </w:tc>
      </w:tr>
      <w:tr w:rsidR="00F37C93">
        <w:tc>
          <w:tcPr>
            <w:tcW w:w="2447" w:type="dxa"/>
            <w:vMerge w:val="restart"/>
            <w:vAlign w:val="center"/>
          </w:tcPr>
          <w:p w:rsidR="00F37C93" w:rsidRDefault="003C7058">
            <w:r>
              <w:t xml:space="preserve">A.7. </w:t>
            </w:r>
            <w:hyperlink w:anchor="1v1yuxt">
              <w:r>
                <w:rPr>
                  <w:color w:val="0000FF"/>
                  <w:u w:val="single"/>
                </w:rPr>
                <w:t>Resource impact</w:t>
              </w:r>
            </w:hyperlink>
          </w:p>
        </w:tc>
        <w:tc>
          <w:tcPr>
            <w:tcW w:w="2556" w:type="dxa"/>
          </w:tcPr>
          <w:p w:rsidR="00F37C93" w:rsidRDefault="00CA4A41">
            <w:hyperlink w:anchor="4f1mdlm">
              <w:r w:rsidR="003C7058">
                <w:rPr>
                  <w:i/>
                  <w:color w:val="0000FF"/>
                  <w:u w:val="single"/>
                </w:rPr>
                <w:t>Faculty PT &amp; FT</w:t>
              </w:r>
            </w:hyperlink>
            <w:r w:rsidR="003C7058">
              <w:t xml:space="preserve">: </w:t>
            </w:r>
          </w:p>
        </w:tc>
        <w:tc>
          <w:tcPr>
            <w:tcW w:w="6013" w:type="dxa"/>
            <w:gridSpan w:val="4"/>
          </w:tcPr>
          <w:p w:rsidR="00F37C93" w:rsidRPr="007542AF" w:rsidRDefault="003C7058">
            <w:r w:rsidRPr="007542AF">
              <w:t>None – Current full-time faculty and/or adjunct will teach this course.</w:t>
            </w:r>
          </w:p>
        </w:tc>
      </w:tr>
      <w:tr w:rsidR="00F37C93">
        <w:tc>
          <w:tcPr>
            <w:tcW w:w="2447" w:type="dxa"/>
            <w:vMerge/>
            <w:vAlign w:val="center"/>
          </w:tcPr>
          <w:p w:rsidR="00F37C93" w:rsidRDefault="00F37C93">
            <w:pPr>
              <w:widowControl w:val="0"/>
              <w:pBdr>
                <w:top w:val="nil"/>
                <w:left w:val="nil"/>
                <w:bottom w:val="nil"/>
                <w:right w:val="nil"/>
                <w:between w:val="nil"/>
              </w:pBdr>
              <w:spacing w:line="276" w:lineRule="auto"/>
              <w:rPr>
                <w:b/>
              </w:rPr>
            </w:pPr>
          </w:p>
        </w:tc>
        <w:tc>
          <w:tcPr>
            <w:tcW w:w="2556" w:type="dxa"/>
          </w:tcPr>
          <w:p w:rsidR="00F37C93" w:rsidRDefault="00CA4A41">
            <w:pPr>
              <w:rPr>
                <w:i/>
              </w:rPr>
            </w:pPr>
            <w:hyperlink w:anchor="2u6wntf">
              <w:r w:rsidR="003C7058">
                <w:rPr>
                  <w:i/>
                  <w:color w:val="0000FF"/>
                  <w:u w:val="single"/>
                </w:rPr>
                <w:t>Library</w:t>
              </w:r>
            </w:hyperlink>
            <w:hyperlink w:anchor="2u6wntf">
              <w:r w:rsidR="003C7058">
                <w:rPr>
                  <w:color w:val="0000FF"/>
                  <w:u w:val="single"/>
                </w:rPr>
                <w:t>:</w:t>
              </w:r>
            </w:hyperlink>
          </w:p>
        </w:tc>
        <w:tc>
          <w:tcPr>
            <w:tcW w:w="6013" w:type="dxa"/>
            <w:gridSpan w:val="4"/>
          </w:tcPr>
          <w:p w:rsidR="00F37C93" w:rsidRDefault="003C7058">
            <w:pPr>
              <w:rPr>
                <w:b/>
              </w:rPr>
            </w:pPr>
            <w:r>
              <w:rPr>
                <w:b/>
              </w:rPr>
              <w:t>None</w:t>
            </w:r>
          </w:p>
        </w:tc>
      </w:tr>
      <w:tr w:rsidR="00F37C93">
        <w:tc>
          <w:tcPr>
            <w:tcW w:w="2447" w:type="dxa"/>
            <w:vMerge/>
            <w:vAlign w:val="center"/>
          </w:tcPr>
          <w:p w:rsidR="00F37C93" w:rsidRDefault="00F37C93">
            <w:pPr>
              <w:widowControl w:val="0"/>
              <w:pBdr>
                <w:top w:val="nil"/>
                <w:left w:val="nil"/>
                <w:bottom w:val="nil"/>
                <w:right w:val="nil"/>
                <w:between w:val="nil"/>
              </w:pBdr>
              <w:spacing w:line="276" w:lineRule="auto"/>
              <w:rPr>
                <w:b/>
              </w:rPr>
            </w:pPr>
          </w:p>
        </w:tc>
        <w:tc>
          <w:tcPr>
            <w:tcW w:w="2556" w:type="dxa"/>
          </w:tcPr>
          <w:p w:rsidR="00F37C93" w:rsidRDefault="00CA4A41">
            <w:hyperlink w:anchor="19c6y18">
              <w:r w:rsidR="003C7058">
                <w:rPr>
                  <w:i/>
                  <w:color w:val="0000FF"/>
                  <w:u w:val="single"/>
                </w:rPr>
                <w:t>Technology</w:t>
              </w:r>
            </w:hyperlink>
          </w:p>
        </w:tc>
        <w:tc>
          <w:tcPr>
            <w:tcW w:w="6013" w:type="dxa"/>
            <w:gridSpan w:val="4"/>
          </w:tcPr>
          <w:p w:rsidR="00F37C93" w:rsidRDefault="003C7058">
            <w:pPr>
              <w:rPr>
                <w:b/>
              </w:rPr>
            </w:pPr>
            <w:r>
              <w:rPr>
                <w:b/>
              </w:rPr>
              <w:t>None</w:t>
            </w:r>
          </w:p>
        </w:tc>
      </w:tr>
      <w:tr w:rsidR="00F37C93">
        <w:tc>
          <w:tcPr>
            <w:tcW w:w="2447" w:type="dxa"/>
            <w:vMerge/>
            <w:vAlign w:val="center"/>
          </w:tcPr>
          <w:p w:rsidR="00F37C93" w:rsidRDefault="00F37C93">
            <w:pPr>
              <w:widowControl w:val="0"/>
              <w:pBdr>
                <w:top w:val="nil"/>
                <w:left w:val="nil"/>
                <w:bottom w:val="nil"/>
                <w:right w:val="nil"/>
                <w:between w:val="nil"/>
              </w:pBdr>
              <w:spacing w:line="276" w:lineRule="auto"/>
              <w:rPr>
                <w:b/>
              </w:rPr>
            </w:pPr>
          </w:p>
        </w:tc>
        <w:tc>
          <w:tcPr>
            <w:tcW w:w="2556" w:type="dxa"/>
          </w:tcPr>
          <w:p w:rsidR="00F37C93" w:rsidRDefault="00CA4A41">
            <w:pPr>
              <w:rPr>
                <w:i/>
              </w:rPr>
            </w:pPr>
            <w:hyperlink w:anchor="3tbugp1">
              <w:r w:rsidR="003C7058">
                <w:rPr>
                  <w:i/>
                  <w:color w:val="0000FF"/>
                  <w:u w:val="single"/>
                </w:rPr>
                <w:t>Facilities</w:t>
              </w:r>
            </w:hyperlink>
            <w:r w:rsidR="003C7058">
              <w:t>:</w:t>
            </w:r>
          </w:p>
        </w:tc>
        <w:tc>
          <w:tcPr>
            <w:tcW w:w="6013" w:type="dxa"/>
            <w:gridSpan w:val="4"/>
          </w:tcPr>
          <w:p w:rsidR="00F37C93" w:rsidRDefault="003C7058">
            <w:pPr>
              <w:rPr>
                <w:b/>
              </w:rPr>
            </w:pPr>
            <w:r>
              <w:rPr>
                <w:b/>
              </w:rPr>
              <w:t>None</w:t>
            </w:r>
          </w:p>
        </w:tc>
      </w:tr>
      <w:tr w:rsidR="00F37C93">
        <w:tc>
          <w:tcPr>
            <w:tcW w:w="2447" w:type="dxa"/>
            <w:vAlign w:val="center"/>
          </w:tcPr>
          <w:p w:rsidR="00F37C93" w:rsidRDefault="003C7058">
            <w:r>
              <w:t xml:space="preserve">A.8. </w:t>
            </w:r>
            <w:hyperlink w:anchor="3rdcrjn">
              <w:r>
                <w:rPr>
                  <w:color w:val="0000FF"/>
                  <w:u w:val="single"/>
                </w:rPr>
                <w:t>Semester effective</w:t>
              </w:r>
            </w:hyperlink>
          </w:p>
        </w:tc>
        <w:tc>
          <w:tcPr>
            <w:tcW w:w="2556" w:type="dxa"/>
          </w:tcPr>
          <w:p w:rsidR="00F37C93" w:rsidRDefault="003C7058">
            <w:pPr>
              <w:rPr>
                <w:b/>
              </w:rPr>
            </w:pPr>
            <w:r>
              <w:rPr>
                <w:b/>
              </w:rPr>
              <w:t>Fall 2019</w:t>
            </w:r>
          </w:p>
        </w:tc>
        <w:tc>
          <w:tcPr>
            <w:tcW w:w="3025" w:type="dxa"/>
            <w:gridSpan w:val="2"/>
          </w:tcPr>
          <w:p w:rsidR="00F37C93" w:rsidRDefault="007542AF">
            <w:pPr>
              <w:rPr>
                <w:b/>
              </w:rPr>
            </w:pPr>
            <w:r>
              <w:rPr>
                <w:rStyle w:val="None"/>
              </w:rPr>
              <w:t xml:space="preserve">A.9. </w:t>
            </w:r>
            <w:hyperlink w:anchor="bookmark14" w:history="1">
              <w:r>
                <w:rPr>
                  <w:rStyle w:val="Hyperlink4"/>
                </w:rPr>
                <w:t>Rationale if sooner than next Fall</w:t>
              </w:r>
            </w:hyperlink>
          </w:p>
        </w:tc>
        <w:tc>
          <w:tcPr>
            <w:tcW w:w="2988" w:type="dxa"/>
            <w:gridSpan w:val="2"/>
          </w:tcPr>
          <w:p w:rsidR="00F37C93" w:rsidRDefault="00F37C93">
            <w:pPr>
              <w:rPr>
                <w:b/>
              </w:rPr>
            </w:pPr>
          </w:p>
        </w:tc>
      </w:tr>
      <w:tr w:rsidR="00F37C93">
        <w:tc>
          <w:tcPr>
            <w:tcW w:w="11016" w:type="dxa"/>
            <w:gridSpan w:val="6"/>
            <w:vAlign w:val="center"/>
          </w:tcPr>
          <w:p w:rsidR="00F37C93" w:rsidRDefault="003C7058">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7542AF" w:rsidRDefault="007542AF"/>
    <w:p w:rsidR="00F37C93" w:rsidRDefault="003C7058">
      <w:pPr>
        <w:rPr>
          <w:b/>
          <w:sz w:val="20"/>
          <w:szCs w:val="20"/>
        </w:rPr>
      </w:pPr>
      <w:r>
        <w:t xml:space="preserve">B.  </w:t>
      </w:r>
      <w:hyperlink w:anchor="28h4qwu">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 </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F37C93">
        <w:tc>
          <w:tcPr>
            <w:tcW w:w="3168" w:type="dxa"/>
            <w:shd w:val="clear" w:color="auto" w:fill="FABF8F"/>
            <w:vAlign w:val="center"/>
          </w:tcPr>
          <w:p w:rsidR="00F37C93" w:rsidRDefault="00F37C93">
            <w:pPr>
              <w:pStyle w:val="Heading5"/>
              <w:keepNext/>
              <w:spacing w:before="0" w:after="0" w:line="240" w:lineRule="auto"/>
            </w:pPr>
          </w:p>
        </w:tc>
        <w:tc>
          <w:tcPr>
            <w:tcW w:w="3924" w:type="dxa"/>
          </w:tcPr>
          <w:p w:rsidR="00F37C93" w:rsidRDefault="003C7058">
            <w:pPr>
              <w:pStyle w:val="Heading5"/>
              <w:keepNext/>
              <w:spacing w:before="0" w:after="0" w:line="240" w:lineRule="auto"/>
              <w:jc w:val="center"/>
            </w:pPr>
            <w:r>
              <w:t>Old (</w:t>
            </w:r>
            <w:hyperlink w:anchor="nmf14n">
              <w:r>
                <w:rPr>
                  <w:color w:val="0000FF"/>
                  <w:u w:val="single"/>
                </w:rPr>
                <w:t>for revisions only</w:t>
              </w:r>
            </w:hyperlink>
            <w:r>
              <w:t>)</w:t>
            </w:r>
          </w:p>
          <w:p w:rsidR="00F37C93" w:rsidRDefault="003C7058">
            <w:r>
              <w:t>Only include information that is being revised, otherwise leave blank (delete provided examples that do not apply)</w:t>
            </w:r>
          </w:p>
        </w:tc>
        <w:tc>
          <w:tcPr>
            <w:tcW w:w="3924" w:type="dxa"/>
          </w:tcPr>
          <w:p w:rsidR="00F37C93" w:rsidRDefault="003C7058">
            <w:pPr>
              <w:pStyle w:val="Heading5"/>
              <w:keepNext/>
              <w:spacing w:before="0" w:after="0" w:line="240" w:lineRule="auto"/>
              <w:jc w:val="center"/>
            </w:pPr>
            <w:r>
              <w:t>New</w:t>
            </w:r>
          </w:p>
          <w:p w:rsidR="00F37C93" w:rsidRDefault="003C7058">
            <w:r>
              <w:t>Examples are provided for guidance, delete the ones that do not apply</w:t>
            </w:r>
          </w:p>
        </w:tc>
      </w:tr>
      <w:tr w:rsidR="00F37C93">
        <w:tc>
          <w:tcPr>
            <w:tcW w:w="3168" w:type="dxa"/>
            <w:vAlign w:val="center"/>
          </w:tcPr>
          <w:p w:rsidR="00F37C93" w:rsidRDefault="003C7058">
            <w:pPr>
              <w:spacing w:line="240" w:lineRule="auto"/>
            </w:pPr>
            <w:r>
              <w:t xml:space="preserve">B.1. </w:t>
            </w:r>
            <w:hyperlink w:anchor="26in1rg">
              <w:r>
                <w:rPr>
                  <w:color w:val="0000FF"/>
                  <w:u w:val="single"/>
                </w:rPr>
                <w:t>Course prefix and number</w:t>
              </w:r>
            </w:hyperlink>
            <w:r>
              <w:t xml:space="preserve"> </w:t>
            </w:r>
          </w:p>
        </w:tc>
        <w:tc>
          <w:tcPr>
            <w:tcW w:w="3924" w:type="dxa"/>
          </w:tcPr>
          <w:p w:rsidR="00F37C93" w:rsidRDefault="00F37C93">
            <w:pPr>
              <w:spacing w:line="240" w:lineRule="auto"/>
              <w:rPr>
                <w:b/>
              </w:rPr>
            </w:pPr>
          </w:p>
        </w:tc>
        <w:tc>
          <w:tcPr>
            <w:tcW w:w="3924" w:type="dxa"/>
          </w:tcPr>
          <w:p w:rsidR="00F37C93" w:rsidRDefault="003C7058">
            <w:pPr>
              <w:spacing w:line="240" w:lineRule="auto"/>
              <w:rPr>
                <w:b/>
              </w:rPr>
            </w:pPr>
            <w:r>
              <w:rPr>
                <w:b/>
              </w:rPr>
              <w:t>HPE 403</w:t>
            </w:r>
          </w:p>
        </w:tc>
      </w:tr>
      <w:tr w:rsidR="00F37C93">
        <w:tc>
          <w:tcPr>
            <w:tcW w:w="3168" w:type="dxa"/>
            <w:vAlign w:val="center"/>
          </w:tcPr>
          <w:p w:rsidR="00F37C93" w:rsidRDefault="003C7058">
            <w:pPr>
              <w:spacing w:line="240" w:lineRule="auto"/>
            </w:pPr>
            <w:r>
              <w:t>B.2. Cross listing number if any</w:t>
            </w:r>
          </w:p>
        </w:tc>
        <w:tc>
          <w:tcPr>
            <w:tcW w:w="3924" w:type="dxa"/>
          </w:tcPr>
          <w:p w:rsidR="00F37C93" w:rsidRDefault="00F37C93">
            <w:pPr>
              <w:spacing w:line="240" w:lineRule="auto"/>
              <w:rPr>
                <w:b/>
              </w:rPr>
            </w:pPr>
          </w:p>
        </w:tc>
        <w:tc>
          <w:tcPr>
            <w:tcW w:w="3924" w:type="dxa"/>
          </w:tcPr>
          <w:p w:rsidR="00F37C93" w:rsidRDefault="00F37C93">
            <w:pPr>
              <w:spacing w:line="240" w:lineRule="auto"/>
              <w:rPr>
                <w:b/>
              </w:rPr>
            </w:pPr>
          </w:p>
        </w:tc>
      </w:tr>
      <w:tr w:rsidR="00F37C93">
        <w:tc>
          <w:tcPr>
            <w:tcW w:w="3168" w:type="dxa"/>
            <w:vAlign w:val="center"/>
          </w:tcPr>
          <w:p w:rsidR="00F37C93" w:rsidRDefault="003C7058">
            <w:pPr>
              <w:spacing w:line="240" w:lineRule="auto"/>
            </w:pPr>
            <w:r>
              <w:t xml:space="preserve">B.3. </w:t>
            </w:r>
            <w:hyperlink w:anchor="lnxbz9">
              <w:r>
                <w:rPr>
                  <w:color w:val="0000FF"/>
                  <w:u w:val="single"/>
                </w:rPr>
                <w:t>Course title</w:t>
              </w:r>
            </w:hyperlink>
            <w:r>
              <w:t xml:space="preserve"> </w:t>
            </w:r>
          </w:p>
        </w:tc>
        <w:tc>
          <w:tcPr>
            <w:tcW w:w="3924" w:type="dxa"/>
          </w:tcPr>
          <w:p w:rsidR="00F37C93" w:rsidRDefault="00F37C93">
            <w:pPr>
              <w:spacing w:line="240" w:lineRule="auto"/>
              <w:rPr>
                <w:b/>
              </w:rPr>
            </w:pPr>
          </w:p>
        </w:tc>
        <w:tc>
          <w:tcPr>
            <w:tcW w:w="3924" w:type="dxa"/>
          </w:tcPr>
          <w:p w:rsidR="00F37C93" w:rsidRDefault="003C7058">
            <w:pPr>
              <w:spacing w:line="240" w:lineRule="auto"/>
              <w:rPr>
                <w:b/>
              </w:rPr>
            </w:pPr>
            <w:r>
              <w:rPr>
                <w:b/>
              </w:rPr>
              <w:t>Environmental Health</w:t>
            </w:r>
          </w:p>
        </w:tc>
      </w:tr>
      <w:tr w:rsidR="00F37C93">
        <w:tc>
          <w:tcPr>
            <w:tcW w:w="3168" w:type="dxa"/>
            <w:vAlign w:val="center"/>
          </w:tcPr>
          <w:p w:rsidR="00F37C93" w:rsidRDefault="003C7058">
            <w:pPr>
              <w:spacing w:line="240" w:lineRule="auto"/>
            </w:pPr>
            <w:r>
              <w:t xml:space="preserve">B.4. </w:t>
            </w:r>
            <w:hyperlink w:anchor="35nkun2">
              <w:r>
                <w:rPr>
                  <w:color w:val="0000FF"/>
                  <w:u w:val="single"/>
                </w:rPr>
                <w:t>Course description</w:t>
              </w:r>
            </w:hyperlink>
            <w:r>
              <w:t xml:space="preserve"> </w:t>
            </w:r>
          </w:p>
        </w:tc>
        <w:tc>
          <w:tcPr>
            <w:tcW w:w="3924" w:type="dxa"/>
          </w:tcPr>
          <w:p w:rsidR="00F37C93" w:rsidRDefault="00F37C93">
            <w:pPr>
              <w:tabs>
                <w:tab w:val="left" w:pos="690"/>
              </w:tabs>
              <w:spacing w:line="240" w:lineRule="auto"/>
              <w:rPr>
                <w:b/>
              </w:rPr>
            </w:pPr>
          </w:p>
        </w:tc>
        <w:tc>
          <w:tcPr>
            <w:tcW w:w="3924" w:type="dxa"/>
          </w:tcPr>
          <w:p w:rsidR="00F37C93" w:rsidRDefault="003C7058">
            <w:r>
              <w:t>Students survey environmental health from holistic and interdisciplinary perspectives. They examine the interactive nature of natural and anthropogenic environments, and their impacts on community and population health and health promotion.</w:t>
            </w:r>
          </w:p>
          <w:p w:rsidR="00F37C93" w:rsidRDefault="00F37C93"/>
        </w:tc>
      </w:tr>
      <w:tr w:rsidR="00F37C93">
        <w:tc>
          <w:tcPr>
            <w:tcW w:w="3168" w:type="dxa"/>
            <w:vAlign w:val="center"/>
          </w:tcPr>
          <w:p w:rsidR="00F37C93" w:rsidRDefault="003C7058">
            <w:pPr>
              <w:spacing w:line="240" w:lineRule="auto"/>
            </w:pPr>
            <w:r>
              <w:t xml:space="preserve">B.5. </w:t>
            </w:r>
            <w:hyperlink w:anchor="1ksv4uv">
              <w:r>
                <w:rPr>
                  <w:color w:val="0000FF"/>
                  <w:u w:val="single"/>
                </w:rPr>
                <w:t>Prerequisite(s)</w:t>
              </w:r>
            </w:hyperlink>
          </w:p>
        </w:tc>
        <w:tc>
          <w:tcPr>
            <w:tcW w:w="3924" w:type="dxa"/>
          </w:tcPr>
          <w:p w:rsidR="00F37C93" w:rsidRDefault="00F37C93">
            <w:pPr>
              <w:spacing w:line="240" w:lineRule="auto"/>
              <w:rPr>
                <w:b/>
              </w:rPr>
            </w:pPr>
          </w:p>
        </w:tc>
        <w:tc>
          <w:tcPr>
            <w:tcW w:w="3924" w:type="dxa"/>
          </w:tcPr>
          <w:p w:rsidR="00F37C93" w:rsidRDefault="003C7058">
            <w:pPr>
              <w:spacing w:line="240" w:lineRule="auto"/>
              <w:rPr>
                <w:b/>
                <w:highlight w:val="white"/>
              </w:rPr>
            </w:pPr>
            <w:r>
              <w:rPr>
                <w:highlight w:val="white"/>
              </w:rPr>
              <w:t>45 credit hours or consent of department chair</w:t>
            </w:r>
          </w:p>
        </w:tc>
      </w:tr>
      <w:tr w:rsidR="00F37C93">
        <w:tc>
          <w:tcPr>
            <w:tcW w:w="3168" w:type="dxa"/>
            <w:vAlign w:val="center"/>
          </w:tcPr>
          <w:p w:rsidR="00F37C93" w:rsidRDefault="003C7058">
            <w:pPr>
              <w:spacing w:line="240" w:lineRule="auto"/>
            </w:pPr>
            <w:r>
              <w:t xml:space="preserve">B.6. </w:t>
            </w:r>
            <w:hyperlink w:anchor="37m2jsg">
              <w:r>
                <w:rPr>
                  <w:color w:val="0000FF"/>
                  <w:u w:val="single"/>
                </w:rPr>
                <w:t>Offered</w:t>
              </w:r>
            </w:hyperlink>
          </w:p>
        </w:tc>
        <w:tc>
          <w:tcPr>
            <w:tcW w:w="3924" w:type="dxa"/>
          </w:tcPr>
          <w:p w:rsidR="00F37C93" w:rsidRDefault="00F37C93">
            <w:pPr>
              <w:spacing w:line="240" w:lineRule="auto"/>
              <w:rPr>
                <w:b/>
                <w:sz w:val="20"/>
                <w:szCs w:val="20"/>
              </w:rPr>
            </w:pPr>
          </w:p>
        </w:tc>
        <w:tc>
          <w:tcPr>
            <w:tcW w:w="3924" w:type="dxa"/>
          </w:tcPr>
          <w:p w:rsidR="00F37C93" w:rsidRDefault="003C7058">
            <w:pPr>
              <w:spacing w:line="240" w:lineRule="auto"/>
              <w:rPr>
                <w:rFonts w:ascii="MS Mincho" w:eastAsia="MS Mincho" w:hAnsi="MS Mincho" w:cs="MS Mincho"/>
                <w:b/>
                <w:sz w:val="20"/>
                <w:szCs w:val="20"/>
              </w:rPr>
            </w:pPr>
            <w:r>
              <w:rPr>
                <w:b/>
                <w:sz w:val="20"/>
                <w:szCs w:val="20"/>
              </w:rPr>
              <w:t>Annually</w:t>
            </w:r>
          </w:p>
          <w:p w:rsidR="00F37C93" w:rsidRDefault="00F37C93">
            <w:pPr>
              <w:spacing w:line="240" w:lineRule="auto"/>
              <w:rPr>
                <w:b/>
                <w:sz w:val="20"/>
                <w:szCs w:val="20"/>
              </w:rPr>
            </w:pPr>
          </w:p>
        </w:tc>
      </w:tr>
      <w:tr w:rsidR="00F37C93">
        <w:tc>
          <w:tcPr>
            <w:tcW w:w="3168" w:type="dxa"/>
            <w:vAlign w:val="center"/>
          </w:tcPr>
          <w:p w:rsidR="00F37C93" w:rsidRDefault="003C7058">
            <w:pPr>
              <w:spacing w:line="240" w:lineRule="auto"/>
            </w:pPr>
            <w:r>
              <w:t xml:space="preserve">B.7. </w:t>
            </w:r>
            <w:hyperlink w:anchor="2jxsxqh">
              <w:r>
                <w:rPr>
                  <w:color w:val="0000FF"/>
                  <w:u w:val="single"/>
                </w:rPr>
                <w:t>Contact hours</w:t>
              </w:r>
            </w:hyperlink>
            <w:r>
              <w:t xml:space="preserve"> </w:t>
            </w:r>
          </w:p>
        </w:tc>
        <w:tc>
          <w:tcPr>
            <w:tcW w:w="3924" w:type="dxa"/>
          </w:tcPr>
          <w:p w:rsidR="00F37C93" w:rsidRDefault="00F37C93">
            <w:pPr>
              <w:spacing w:line="240" w:lineRule="auto"/>
              <w:rPr>
                <w:b/>
              </w:rPr>
            </w:pPr>
          </w:p>
        </w:tc>
        <w:tc>
          <w:tcPr>
            <w:tcW w:w="3924" w:type="dxa"/>
          </w:tcPr>
          <w:p w:rsidR="00F37C93" w:rsidRDefault="003C7058">
            <w:pPr>
              <w:spacing w:line="240" w:lineRule="auto"/>
              <w:rPr>
                <w:b/>
              </w:rPr>
            </w:pPr>
            <w:r>
              <w:rPr>
                <w:b/>
              </w:rPr>
              <w:t>3</w:t>
            </w:r>
          </w:p>
        </w:tc>
      </w:tr>
      <w:tr w:rsidR="00F37C93">
        <w:tc>
          <w:tcPr>
            <w:tcW w:w="3168" w:type="dxa"/>
            <w:vAlign w:val="center"/>
          </w:tcPr>
          <w:p w:rsidR="00F37C93" w:rsidRDefault="003C7058">
            <w:pPr>
              <w:spacing w:line="240" w:lineRule="auto"/>
            </w:pPr>
            <w:r>
              <w:t>B.8. Credit hours</w:t>
            </w:r>
          </w:p>
        </w:tc>
        <w:tc>
          <w:tcPr>
            <w:tcW w:w="3924" w:type="dxa"/>
          </w:tcPr>
          <w:p w:rsidR="00F37C93" w:rsidRDefault="00F37C93">
            <w:pPr>
              <w:spacing w:line="240" w:lineRule="auto"/>
              <w:rPr>
                <w:b/>
              </w:rPr>
            </w:pPr>
          </w:p>
        </w:tc>
        <w:tc>
          <w:tcPr>
            <w:tcW w:w="3924" w:type="dxa"/>
          </w:tcPr>
          <w:p w:rsidR="00F37C93" w:rsidRDefault="003C7058">
            <w:pPr>
              <w:spacing w:line="240" w:lineRule="auto"/>
              <w:rPr>
                <w:b/>
              </w:rPr>
            </w:pPr>
            <w:r>
              <w:rPr>
                <w:b/>
              </w:rPr>
              <w:t>3</w:t>
            </w:r>
          </w:p>
        </w:tc>
      </w:tr>
      <w:tr w:rsidR="00F37C93">
        <w:tc>
          <w:tcPr>
            <w:tcW w:w="3168" w:type="dxa"/>
            <w:vAlign w:val="center"/>
          </w:tcPr>
          <w:p w:rsidR="00F37C93" w:rsidRDefault="003C7058">
            <w:pPr>
              <w:spacing w:line="240" w:lineRule="auto"/>
            </w:pPr>
            <w:r>
              <w:t>B.9.</w:t>
            </w:r>
            <w:hyperlink w:anchor="3j2qqm3">
              <w:r>
                <w:rPr>
                  <w:color w:val="0000FF"/>
                  <w:u w:val="single"/>
                </w:rPr>
                <w:t xml:space="preserve"> Justify differences if any</w:t>
              </w:r>
            </w:hyperlink>
          </w:p>
        </w:tc>
        <w:tc>
          <w:tcPr>
            <w:tcW w:w="7848" w:type="dxa"/>
            <w:gridSpan w:val="2"/>
          </w:tcPr>
          <w:p w:rsidR="00F37C93" w:rsidRDefault="00F37C93">
            <w:pPr>
              <w:spacing w:line="240" w:lineRule="auto"/>
              <w:rPr>
                <w:rFonts w:ascii="Calibri" w:eastAsia="Calibri" w:hAnsi="Calibri" w:cs="Calibri"/>
                <w:b/>
                <w:smallCaps/>
                <w:sz w:val="24"/>
                <w:szCs w:val="24"/>
              </w:rPr>
            </w:pPr>
          </w:p>
        </w:tc>
      </w:tr>
      <w:tr w:rsidR="00F37C93">
        <w:tc>
          <w:tcPr>
            <w:tcW w:w="3168" w:type="dxa"/>
            <w:vAlign w:val="center"/>
          </w:tcPr>
          <w:p w:rsidR="00F37C93" w:rsidRDefault="003C7058">
            <w:pPr>
              <w:spacing w:line="240" w:lineRule="auto"/>
            </w:pPr>
            <w:r>
              <w:t xml:space="preserve">B.10. </w:t>
            </w:r>
            <w:hyperlink w:anchor="46r0co2">
              <w:r>
                <w:rPr>
                  <w:color w:val="0000FF"/>
                  <w:u w:val="single"/>
                </w:rPr>
                <w:t>Grading system</w:t>
              </w:r>
            </w:hyperlink>
            <w:r>
              <w:t xml:space="preserve"> </w:t>
            </w:r>
          </w:p>
        </w:tc>
        <w:tc>
          <w:tcPr>
            <w:tcW w:w="3924" w:type="dxa"/>
          </w:tcPr>
          <w:p w:rsidR="00F37C93" w:rsidRDefault="00F37C93">
            <w:pPr>
              <w:spacing w:line="240" w:lineRule="auto"/>
              <w:rPr>
                <w:b/>
                <w:sz w:val="20"/>
                <w:szCs w:val="20"/>
              </w:rPr>
            </w:pPr>
          </w:p>
        </w:tc>
        <w:tc>
          <w:tcPr>
            <w:tcW w:w="3924" w:type="dxa"/>
          </w:tcPr>
          <w:p w:rsidR="00F37C93" w:rsidRDefault="003C7058">
            <w:pPr>
              <w:spacing w:line="240" w:lineRule="auto"/>
              <w:rPr>
                <w:b/>
                <w:sz w:val="20"/>
                <w:szCs w:val="20"/>
              </w:rPr>
            </w:pPr>
            <w:r>
              <w:rPr>
                <w:b/>
                <w:sz w:val="20"/>
                <w:szCs w:val="20"/>
              </w:rPr>
              <w:t xml:space="preserve">Letter </w:t>
            </w:r>
            <w:proofErr w:type="gramStart"/>
            <w:r>
              <w:rPr>
                <w:b/>
                <w:sz w:val="20"/>
                <w:szCs w:val="20"/>
              </w:rPr>
              <w:t>grade  |</w:t>
            </w:r>
            <w:proofErr w:type="gramEnd"/>
            <w:r>
              <w:rPr>
                <w:b/>
                <w:sz w:val="20"/>
                <w:szCs w:val="20"/>
              </w:rPr>
              <w:t xml:space="preserve">  Pass/Fail  |  CR/NCR</w:t>
            </w:r>
          </w:p>
        </w:tc>
      </w:tr>
      <w:tr w:rsidR="00F37C93">
        <w:tc>
          <w:tcPr>
            <w:tcW w:w="3168" w:type="dxa"/>
            <w:vAlign w:val="center"/>
          </w:tcPr>
          <w:p w:rsidR="00F37C93" w:rsidRDefault="003C7058">
            <w:pPr>
              <w:spacing w:line="240" w:lineRule="auto"/>
            </w:pPr>
            <w:r>
              <w:t xml:space="preserve">B.11. </w:t>
            </w:r>
            <w:hyperlink w:anchor="1y810tw">
              <w:r>
                <w:rPr>
                  <w:color w:val="0000FF"/>
                  <w:u w:val="single"/>
                </w:rPr>
                <w:t>Instructional methods</w:t>
              </w:r>
            </w:hyperlink>
          </w:p>
        </w:tc>
        <w:tc>
          <w:tcPr>
            <w:tcW w:w="3924" w:type="dxa"/>
          </w:tcPr>
          <w:p w:rsidR="00F37C93" w:rsidRDefault="00F37C93">
            <w:pPr>
              <w:spacing w:line="240" w:lineRule="auto"/>
              <w:rPr>
                <w:b/>
                <w:sz w:val="20"/>
                <w:szCs w:val="20"/>
              </w:rPr>
            </w:pPr>
          </w:p>
        </w:tc>
        <w:tc>
          <w:tcPr>
            <w:tcW w:w="3924" w:type="dxa"/>
          </w:tcPr>
          <w:p w:rsidR="00F37C93" w:rsidRDefault="003C7058">
            <w:pPr>
              <w:spacing w:line="240" w:lineRule="auto"/>
              <w:rPr>
                <w:b/>
                <w:sz w:val="20"/>
                <w:szCs w:val="20"/>
              </w:rPr>
            </w:pPr>
            <w:r>
              <w:rPr>
                <w:rFonts w:ascii="MS Mincho" w:eastAsia="MS Mincho" w:hAnsi="MS Mincho" w:cs="MS Mincho"/>
                <w:b/>
                <w:sz w:val="20"/>
                <w:szCs w:val="20"/>
              </w:rPr>
              <w:t>L</w:t>
            </w:r>
            <w:r>
              <w:rPr>
                <w:b/>
                <w:sz w:val="20"/>
                <w:szCs w:val="20"/>
              </w:rPr>
              <w:t xml:space="preserve">ecture  </w:t>
            </w:r>
          </w:p>
        </w:tc>
      </w:tr>
      <w:tr w:rsidR="00F37C93">
        <w:tc>
          <w:tcPr>
            <w:tcW w:w="3168" w:type="dxa"/>
            <w:vAlign w:val="center"/>
          </w:tcPr>
          <w:p w:rsidR="00F37C93" w:rsidRDefault="003C7058">
            <w:pPr>
              <w:spacing w:line="240" w:lineRule="auto"/>
            </w:pPr>
            <w:r>
              <w:t>B.12.</w:t>
            </w:r>
            <w:hyperlink w:anchor="4i7ojhp">
              <w:r>
                <w:rPr>
                  <w:color w:val="0000FF"/>
                  <w:u w:val="single"/>
                </w:rPr>
                <w:t>Categories</w:t>
              </w:r>
            </w:hyperlink>
          </w:p>
        </w:tc>
        <w:tc>
          <w:tcPr>
            <w:tcW w:w="3924" w:type="dxa"/>
          </w:tcPr>
          <w:p w:rsidR="00F37C93" w:rsidRDefault="00F37C93">
            <w:pPr>
              <w:spacing w:line="240" w:lineRule="auto"/>
              <w:rPr>
                <w:b/>
                <w:sz w:val="20"/>
                <w:szCs w:val="20"/>
              </w:rPr>
            </w:pPr>
          </w:p>
        </w:tc>
        <w:tc>
          <w:tcPr>
            <w:tcW w:w="3924" w:type="dxa"/>
          </w:tcPr>
          <w:p w:rsidR="00F37C93" w:rsidRPr="007542AF" w:rsidRDefault="003C7058">
            <w:pPr>
              <w:spacing w:line="240" w:lineRule="auto"/>
              <w:rPr>
                <w:b/>
                <w:sz w:val="20"/>
                <w:szCs w:val="20"/>
              </w:rPr>
            </w:pPr>
            <w:r>
              <w:rPr>
                <w:b/>
                <w:sz w:val="20"/>
                <w:szCs w:val="20"/>
              </w:rPr>
              <w:t xml:space="preserve">Required for </w:t>
            </w:r>
            <w:proofErr w:type="gramStart"/>
            <w:r>
              <w:rPr>
                <w:b/>
                <w:sz w:val="20"/>
                <w:szCs w:val="20"/>
              </w:rPr>
              <w:t xml:space="preserve">major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Free elective</w:t>
            </w:r>
          </w:p>
          <w:p w:rsidR="00F37C93" w:rsidRDefault="00F37C93">
            <w:pPr>
              <w:spacing w:line="240" w:lineRule="auto"/>
              <w:rPr>
                <w:b/>
                <w:sz w:val="20"/>
                <w:szCs w:val="20"/>
              </w:rPr>
            </w:pPr>
          </w:p>
        </w:tc>
      </w:tr>
      <w:tr w:rsidR="00F37C93">
        <w:tc>
          <w:tcPr>
            <w:tcW w:w="3168" w:type="dxa"/>
            <w:vAlign w:val="center"/>
          </w:tcPr>
          <w:p w:rsidR="00F37C93" w:rsidRDefault="003C7058">
            <w:pPr>
              <w:spacing w:line="240" w:lineRule="auto"/>
            </w:pPr>
            <w:r>
              <w:t>B.13. Is this an Honors course?</w:t>
            </w:r>
          </w:p>
        </w:tc>
        <w:tc>
          <w:tcPr>
            <w:tcW w:w="3924" w:type="dxa"/>
          </w:tcPr>
          <w:p w:rsidR="00F37C93" w:rsidRDefault="00F37C93">
            <w:pPr>
              <w:spacing w:line="240" w:lineRule="auto"/>
              <w:rPr>
                <w:b/>
              </w:rPr>
            </w:pPr>
          </w:p>
        </w:tc>
        <w:tc>
          <w:tcPr>
            <w:tcW w:w="3924" w:type="dxa"/>
          </w:tcPr>
          <w:p w:rsidR="00F37C93" w:rsidRDefault="003C7058">
            <w:pPr>
              <w:spacing w:line="240" w:lineRule="auto"/>
              <w:rPr>
                <w:b/>
              </w:rPr>
            </w:pPr>
            <w:r>
              <w:rPr>
                <w:b/>
              </w:rPr>
              <w:t>NO</w:t>
            </w:r>
          </w:p>
        </w:tc>
      </w:tr>
      <w:tr w:rsidR="00F37C93">
        <w:tc>
          <w:tcPr>
            <w:tcW w:w="3168" w:type="dxa"/>
            <w:vAlign w:val="center"/>
          </w:tcPr>
          <w:p w:rsidR="00F37C93" w:rsidRDefault="003C7058">
            <w:pPr>
              <w:spacing w:line="240" w:lineRule="auto"/>
              <w:rPr>
                <w:color w:val="0000FF"/>
                <w:u w:val="single"/>
              </w:rPr>
            </w:pPr>
            <w:r>
              <w:t xml:space="preserve">B.14. </w:t>
            </w:r>
            <w:hyperlink w:anchor="2xcytpi">
              <w:r>
                <w:rPr>
                  <w:color w:val="0000FF"/>
                  <w:u w:val="single"/>
                </w:rPr>
                <w:t>General Education</w:t>
              </w:r>
            </w:hyperlink>
          </w:p>
          <w:p w:rsidR="00F37C93" w:rsidRDefault="003C7058">
            <w:pPr>
              <w:spacing w:line="240" w:lineRule="auto"/>
            </w:pPr>
            <w:r>
              <w:t>N.B. Connections must include at least 50% Standard Classroom instruction.</w:t>
            </w:r>
          </w:p>
        </w:tc>
        <w:tc>
          <w:tcPr>
            <w:tcW w:w="3924" w:type="dxa"/>
          </w:tcPr>
          <w:p w:rsidR="00F37C93" w:rsidRDefault="00F37C93">
            <w:pPr>
              <w:rPr>
                <w:b/>
                <w:sz w:val="20"/>
                <w:szCs w:val="20"/>
              </w:rPr>
            </w:pPr>
          </w:p>
        </w:tc>
        <w:tc>
          <w:tcPr>
            <w:tcW w:w="3924" w:type="dxa"/>
          </w:tcPr>
          <w:p w:rsidR="00F37C93" w:rsidRDefault="003C7058">
            <w:pPr>
              <w:spacing w:line="240" w:lineRule="auto"/>
              <w:rPr>
                <w:b/>
                <w:sz w:val="20"/>
                <w:szCs w:val="20"/>
              </w:rPr>
            </w:pPr>
            <w:r>
              <w:rPr>
                <w:b/>
              </w:rPr>
              <w:t xml:space="preserve">NO </w:t>
            </w:r>
          </w:p>
        </w:tc>
      </w:tr>
      <w:tr w:rsidR="00F37C93">
        <w:tc>
          <w:tcPr>
            <w:tcW w:w="3168" w:type="dxa"/>
            <w:vAlign w:val="center"/>
          </w:tcPr>
          <w:p w:rsidR="00F37C93" w:rsidRDefault="003C7058">
            <w:pPr>
              <w:spacing w:line="240" w:lineRule="auto"/>
            </w:pPr>
            <w:r>
              <w:lastRenderedPageBreak/>
              <w:t xml:space="preserve">B.15. </w:t>
            </w:r>
            <w:hyperlink w:anchor="1ci93xb">
              <w:r>
                <w:rPr>
                  <w:color w:val="0000FF"/>
                  <w:u w:val="single"/>
                </w:rPr>
                <w:t>How will student performance be evaluated?</w:t>
              </w:r>
            </w:hyperlink>
          </w:p>
        </w:tc>
        <w:tc>
          <w:tcPr>
            <w:tcW w:w="3924" w:type="dxa"/>
          </w:tcPr>
          <w:p w:rsidR="00F37C93" w:rsidRDefault="00F37C93">
            <w:pPr>
              <w:spacing w:line="240" w:lineRule="auto"/>
              <w:rPr>
                <w:b/>
                <w:sz w:val="20"/>
                <w:szCs w:val="20"/>
              </w:rPr>
            </w:pPr>
          </w:p>
        </w:tc>
        <w:tc>
          <w:tcPr>
            <w:tcW w:w="3924" w:type="dxa"/>
          </w:tcPr>
          <w:p w:rsidR="00F37C93" w:rsidRDefault="003C7058">
            <w:pPr>
              <w:spacing w:line="240"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F37C93" w:rsidRDefault="003C7058">
            <w:pPr>
              <w:spacing w:line="240"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Quizzes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rsidR="00F37C93" w:rsidRDefault="00F37C93">
            <w:pPr>
              <w:spacing w:line="240" w:lineRule="auto"/>
              <w:rPr>
                <w:b/>
                <w:sz w:val="20"/>
                <w:szCs w:val="20"/>
              </w:rPr>
            </w:pPr>
          </w:p>
        </w:tc>
      </w:tr>
      <w:tr w:rsidR="00F37C93">
        <w:tc>
          <w:tcPr>
            <w:tcW w:w="3168" w:type="dxa"/>
            <w:vAlign w:val="center"/>
          </w:tcPr>
          <w:p w:rsidR="00F37C93" w:rsidRDefault="003C7058">
            <w:pPr>
              <w:spacing w:line="240" w:lineRule="auto"/>
            </w:pPr>
            <w:r>
              <w:t xml:space="preserve">B.16. </w:t>
            </w:r>
            <w:hyperlink w:anchor="3whwml4">
              <w:r>
                <w:rPr>
                  <w:color w:val="0000FF"/>
                  <w:u w:val="single"/>
                </w:rPr>
                <w:t>Redundancy statement</w:t>
              </w:r>
            </w:hyperlink>
          </w:p>
        </w:tc>
        <w:tc>
          <w:tcPr>
            <w:tcW w:w="3924" w:type="dxa"/>
          </w:tcPr>
          <w:p w:rsidR="00F37C93" w:rsidRDefault="00F37C93">
            <w:pPr>
              <w:spacing w:line="240" w:lineRule="auto"/>
              <w:rPr>
                <w:b/>
              </w:rPr>
            </w:pPr>
          </w:p>
        </w:tc>
        <w:tc>
          <w:tcPr>
            <w:tcW w:w="3924" w:type="dxa"/>
          </w:tcPr>
          <w:p w:rsidR="00F37C93" w:rsidRDefault="00F37C93">
            <w:pPr>
              <w:spacing w:line="240" w:lineRule="auto"/>
              <w:rPr>
                <w:b/>
              </w:rPr>
            </w:pPr>
          </w:p>
        </w:tc>
      </w:tr>
      <w:tr w:rsidR="00F37C93">
        <w:tc>
          <w:tcPr>
            <w:tcW w:w="3168" w:type="dxa"/>
            <w:vAlign w:val="center"/>
          </w:tcPr>
          <w:p w:rsidR="00F37C93" w:rsidRDefault="003C7058">
            <w:pPr>
              <w:spacing w:line="240" w:lineRule="auto"/>
            </w:pPr>
            <w:r>
              <w:t>B. 17. Other changes, if any</w:t>
            </w:r>
          </w:p>
        </w:tc>
        <w:tc>
          <w:tcPr>
            <w:tcW w:w="7848" w:type="dxa"/>
            <w:gridSpan w:val="2"/>
          </w:tcPr>
          <w:p w:rsidR="00F37C93" w:rsidRDefault="00F37C93">
            <w:pPr>
              <w:spacing w:line="240" w:lineRule="auto"/>
              <w:rPr>
                <w:rFonts w:ascii="Calibri" w:eastAsia="Calibri" w:hAnsi="Calibri" w:cs="Calibri"/>
                <w:b/>
                <w:smallCaps/>
                <w:sz w:val="24"/>
                <w:szCs w:val="24"/>
              </w:rPr>
            </w:pPr>
          </w:p>
        </w:tc>
      </w:tr>
    </w:tbl>
    <w:p w:rsidR="00F37C93" w:rsidRDefault="00F37C93"/>
    <w:tbl>
      <w:tblPr>
        <w:tblStyle w:val="a1"/>
        <w:tblW w:w="1080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341"/>
        <w:gridCol w:w="1853"/>
        <w:gridCol w:w="4606"/>
      </w:tblGrid>
      <w:tr w:rsidR="00F37C93">
        <w:trPr>
          <w:trHeight w:val="780"/>
        </w:trPr>
        <w:tc>
          <w:tcPr>
            <w:tcW w:w="4340" w:type="dxa"/>
            <w:tcBorders>
              <w:top w:val="single" w:sz="6" w:space="0" w:color="984806"/>
              <w:left w:val="single" w:sz="6" w:space="0" w:color="984806"/>
              <w:bottom w:val="single" w:sz="6" w:space="0" w:color="984806"/>
              <w:right w:val="single" w:sz="6" w:space="0" w:color="984806"/>
            </w:tcBorders>
            <w:tcMar>
              <w:top w:w="0" w:type="dxa"/>
              <w:left w:w="0" w:type="dxa"/>
              <w:bottom w:w="0" w:type="dxa"/>
              <w:right w:w="0" w:type="dxa"/>
            </w:tcMar>
          </w:tcPr>
          <w:p w:rsidR="00F37C93" w:rsidRDefault="003C7058">
            <w:pPr>
              <w:spacing w:before="40" w:after="40"/>
              <w:ind w:left="180"/>
            </w:pPr>
            <w:r>
              <w:t>B.18</w:t>
            </w:r>
            <w:r>
              <w:rPr>
                <w:b/>
              </w:rPr>
              <w:t xml:space="preserve">. </w:t>
            </w:r>
            <w:r>
              <w:rPr>
                <w:b/>
                <w:color w:val="0000FF"/>
              </w:rPr>
              <w:t>Course learning outcomes: List each one in a separate row</w:t>
            </w:r>
            <w:r>
              <w:t xml:space="preserve"> </w:t>
            </w:r>
          </w:p>
        </w:tc>
        <w:tc>
          <w:tcPr>
            <w:tcW w:w="1853" w:type="dxa"/>
            <w:tcBorders>
              <w:top w:val="single" w:sz="6" w:space="0" w:color="984806"/>
              <w:left w:val="nil"/>
              <w:bottom w:val="single" w:sz="6" w:space="0" w:color="984806"/>
              <w:right w:val="single" w:sz="6" w:space="0" w:color="984806"/>
            </w:tcBorders>
            <w:tcMar>
              <w:top w:w="0" w:type="dxa"/>
              <w:left w:w="0" w:type="dxa"/>
              <w:bottom w:w="0" w:type="dxa"/>
              <w:right w:w="0" w:type="dxa"/>
            </w:tcMar>
          </w:tcPr>
          <w:p w:rsidR="00F37C93" w:rsidRDefault="003C7058">
            <w:pPr>
              <w:spacing w:before="40" w:after="40"/>
              <w:ind w:left="90"/>
            </w:pPr>
            <w:r>
              <w:rPr>
                <w:b/>
                <w:color w:val="0000FF"/>
              </w:rPr>
              <w:t xml:space="preserve">Professional </w:t>
            </w:r>
            <w:proofErr w:type="spellStart"/>
            <w:r>
              <w:rPr>
                <w:b/>
                <w:color w:val="0000FF"/>
              </w:rPr>
              <w:t>Org.Standard</w:t>
            </w:r>
            <w:proofErr w:type="spellEnd"/>
            <w:r>
              <w:rPr>
                <w:b/>
                <w:color w:val="0000FF"/>
              </w:rPr>
              <w:t>(s), if relevant</w:t>
            </w:r>
            <w:r>
              <w:t xml:space="preserve"> </w:t>
            </w:r>
          </w:p>
        </w:tc>
        <w:tc>
          <w:tcPr>
            <w:tcW w:w="4605" w:type="dxa"/>
            <w:tcBorders>
              <w:top w:val="single" w:sz="6" w:space="0" w:color="984806"/>
              <w:left w:val="nil"/>
              <w:bottom w:val="single" w:sz="6" w:space="0" w:color="984806"/>
              <w:right w:val="single" w:sz="6" w:space="0" w:color="984806"/>
            </w:tcBorders>
            <w:tcMar>
              <w:top w:w="0" w:type="dxa"/>
              <w:left w:w="0" w:type="dxa"/>
              <w:bottom w:w="0" w:type="dxa"/>
              <w:right w:w="0" w:type="dxa"/>
            </w:tcMar>
          </w:tcPr>
          <w:p w:rsidR="00F37C93" w:rsidRDefault="003C7058">
            <w:pPr>
              <w:spacing w:before="40" w:after="40"/>
              <w:ind w:left="-80" w:firstLine="260"/>
            </w:pPr>
            <w:r>
              <w:rPr>
                <w:b/>
                <w:color w:val="0000FF"/>
              </w:rPr>
              <w:t>How will each outcome be measured</w:t>
            </w:r>
            <w:r>
              <w:rPr>
                <w:b/>
              </w:rPr>
              <w:t>?</w:t>
            </w:r>
            <w:r>
              <w:t xml:space="preserve"> </w:t>
            </w:r>
          </w:p>
        </w:tc>
      </w:tr>
      <w:tr w:rsidR="00F37C93">
        <w:trPr>
          <w:trHeight w:val="1300"/>
        </w:trPr>
        <w:tc>
          <w:tcPr>
            <w:tcW w:w="434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rsidR="00F37C93" w:rsidRDefault="003C7058">
            <w:pPr>
              <w:numPr>
                <w:ilvl w:val="0"/>
                <w:numId w:val="18"/>
              </w:numPr>
              <w:spacing w:before="40" w:after="40"/>
              <w:ind w:left="540"/>
              <w:contextualSpacing/>
            </w:pPr>
            <w:r>
              <w:t>Explain impacts of the interactions between natural and built environments and their impacts on human health</w:t>
            </w:r>
          </w:p>
        </w:tc>
        <w:tc>
          <w:tcPr>
            <w:tcW w:w="1853" w:type="dxa"/>
            <w:tcBorders>
              <w:top w:val="nil"/>
              <w:left w:val="nil"/>
              <w:bottom w:val="single" w:sz="6" w:space="0" w:color="984806"/>
              <w:right w:val="single" w:sz="6" w:space="0" w:color="984806"/>
            </w:tcBorders>
            <w:tcMar>
              <w:top w:w="0" w:type="dxa"/>
              <w:left w:w="0" w:type="dxa"/>
              <w:bottom w:w="0" w:type="dxa"/>
              <w:right w:w="0" w:type="dxa"/>
            </w:tcMar>
          </w:tcPr>
          <w:p w:rsidR="00F37C93" w:rsidRDefault="003C7058">
            <w:pPr>
              <w:spacing w:before="40" w:after="40"/>
            </w:pPr>
            <w:r>
              <w:t xml:space="preserve">  RCHES* 6 </w:t>
            </w:r>
          </w:p>
          <w:p w:rsidR="00F37C93" w:rsidRDefault="003C7058">
            <w:pPr>
              <w:spacing w:before="40" w:after="40"/>
            </w:pPr>
            <w:r>
              <w:t xml:space="preserve">  CEPH* 1, 2, 3, 4, 5</w:t>
            </w:r>
          </w:p>
        </w:tc>
        <w:tc>
          <w:tcPr>
            <w:tcW w:w="4605" w:type="dxa"/>
            <w:tcBorders>
              <w:top w:val="nil"/>
              <w:left w:val="nil"/>
              <w:bottom w:val="single" w:sz="6" w:space="0" w:color="984806"/>
              <w:right w:val="single" w:sz="6" w:space="0" w:color="984806"/>
            </w:tcBorders>
            <w:tcMar>
              <w:top w:w="0" w:type="dxa"/>
              <w:left w:w="0" w:type="dxa"/>
              <w:bottom w:w="0" w:type="dxa"/>
              <w:right w:w="0" w:type="dxa"/>
            </w:tcMar>
          </w:tcPr>
          <w:p w:rsidR="00F37C93" w:rsidRDefault="003C7058">
            <w:pPr>
              <w:spacing w:before="40"/>
              <w:ind w:left="-80"/>
            </w:pPr>
            <w:r>
              <w:rPr>
                <w:highlight w:val="white"/>
              </w:rPr>
              <w:t>·       Discussion boards</w:t>
            </w:r>
          </w:p>
          <w:p w:rsidR="00F37C93" w:rsidRDefault="003C7058">
            <w:pPr>
              <w:spacing w:before="40" w:after="40"/>
            </w:pPr>
            <w:r>
              <w:t xml:space="preserve">    Group projects</w:t>
            </w:r>
          </w:p>
          <w:p w:rsidR="00F37C93" w:rsidRDefault="003C7058">
            <w:pPr>
              <w:spacing w:before="40" w:after="40"/>
              <w:ind w:left="180" w:right="375"/>
            </w:pPr>
            <w:r>
              <w:t>Classroom activities and discussions</w:t>
            </w:r>
          </w:p>
          <w:p w:rsidR="00F37C93" w:rsidRDefault="003C7058">
            <w:pPr>
              <w:spacing w:before="40" w:after="40"/>
              <w:ind w:left="180"/>
            </w:pPr>
            <w:r>
              <w:t xml:space="preserve">Quizzes (quick-writes, </w:t>
            </w:r>
            <w:proofErr w:type="spellStart"/>
            <w:r>
              <w:t>Kahoot</w:t>
            </w:r>
            <w:proofErr w:type="spellEnd"/>
            <w:r>
              <w:t>, paper) and exams</w:t>
            </w:r>
          </w:p>
          <w:p w:rsidR="00F37C93" w:rsidRDefault="003C7058">
            <w:pPr>
              <w:spacing w:before="40" w:after="40"/>
              <w:ind w:left="180"/>
            </w:pPr>
            <w:r>
              <w:t>Final project and presentation</w:t>
            </w:r>
          </w:p>
          <w:p w:rsidR="00F37C93" w:rsidRDefault="00F37C93">
            <w:pPr>
              <w:spacing w:before="40" w:after="40"/>
              <w:ind w:left="-80"/>
            </w:pPr>
          </w:p>
        </w:tc>
      </w:tr>
      <w:tr w:rsidR="00F37C93">
        <w:trPr>
          <w:trHeight w:val="1820"/>
        </w:trPr>
        <w:tc>
          <w:tcPr>
            <w:tcW w:w="434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rsidR="00F37C93" w:rsidRDefault="003C7058">
            <w:pPr>
              <w:numPr>
                <w:ilvl w:val="0"/>
                <w:numId w:val="12"/>
              </w:numPr>
              <w:spacing w:before="40" w:after="40"/>
              <w:ind w:left="540"/>
              <w:contextualSpacing/>
            </w:pPr>
            <w:r>
              <w:t>Describe the history, disciplines, and specializations of major US and international EH agencies and organizations and the approaches by which they identify, analyze, and solve major environmental problems that impact community and population health.</w:t>
            </w:r>
          </w:p>
        </w:tc>
        <w:tc>
          <w:tcPr>
            <w:tcW w:w="1853" w:type="dxa"/>
            <w:tcBorders>
              <w:top w:val="nil"/>
              <w:left w:val="nil"/>
              <w:bottom w:val="single" w:sz="6" w:space="0" w:color="984806"/>
              <w:right w:val="single" w:sz="6" w:space="0" w:color="984806"/>
            </w:tcBorders>
            <w:tcMar>
              <w:top w:w="0" w:type="dxa"/>
              <w:left w:w="0" w:type="dxa"/>
              <w:bottom w:w="0" w:type="dxa"/>
              <w:right w:w="0" w:type="dxa"/>
            </w:tcMar>
          </w:tcPr>
          <w:p w:rsidR="00F37C93" w:rsidRDefault="003C7058">
            <w:pPr>
              <w:spacing w:before="40" w:after="40"/>
              <w:ind w:left="180"/>
            </w:pPr>
            <w:r>
              <w:t>RCHES* 1, 7</w:t>
            </w:r>
          </w:p>
          <w:p w:rsidR="00F37C93" w:rsidRDefault="003C7058">
            <w:pPr>
              <w:spacing w:before="40" w:after="40"/>
              <w:ind w:left="180"/>
            </w:pPr>
            <w:r>
              <w:t>CEPH* 1, 3, 5, 7, 8</w:t>
            </w:r>
          </w:p>
        </w:tc>
        <w:tc>
          <w:tcPr>
            <w:tcW w:w="4605" w:type="dxa"/>
            <w:tcBorders>
              <w:top w:val="nil"/>
              <w:left w:val="nil"/>
              <w:bottom w:val="single" w:sz="6" w:space="0" w:color="984806"/>
              <w:right w:val="single" w:sz="6" w:space="0" w:color="984806"/>
            </w:tcBorders>
            <w:tcMar>
              <w:top w:w="0" w:type="dxa"/>
              <w:left w:w="0" w:type="dxa"/>
              <w:bottom w:w="0" w:type="dxa"/>
              <w:right w:w="0" w:type="dxa"/>
            </w:tcMar>
          </w:tcPr>
          <w:p w:rsidR="00F37C93" w:rsidRDefault="003C7058">
            <w:pPr>
              <w:numPr>
                <w:ilvl w:val="0"/>
                <w:numId w:val="1"/>
              </w:numPr>
              <w:shd w:val="clear" w:color="auto" w:fill="FFFFFF"/>
              <w:spacing w:before="40" w:after="40"/>
              <w:contextualSpacing/>
            </w:pPr>
            <w:r>
              <w:t>Discussion boards</w:t>
            </w:r>
          </w:p>
          <w:p w:rsidR="00F37C93" w:rsidRDefault="003C7058">
            <w:pPr>
              <w:numPr>
                <w:ilvl w:val="0"/>
                <w:numId w:val="1"/>
              </w:numPr>
              <w:shd w:val="clear" w:color="auto" w:fill="FFFFFF"/>
              <w:spacing w:before="40" w:after="40"/>
              <w:contextualSpacing/>
            </w:pPr>
            <w:r>
              <w:t>Classroom activities and discussion</w:t>
            </w:r>
          </w:p>
          <w:p w:rsidR="00F37C93" w:rsidRDefault="003C7058">
            <w:pPr>
              <w:numPr>
                <w:ilvl w:val="0"/>
                <w:numId w:val="1"/>
              </w:numPr>
              <w:shd w:val="clear" w:color="auto" w:fill="FFFFFF"/>
              <w:spacing w:before="40" w:after="40"/>
              <w:contextualSpacing/>
              <w:rPr>
                <w:highlight w:val="white"/>
              </w:rPr>
            </w:pPr>
            <w:r>
              <w:rPr>
                <w:color w:val="333333"/>
                <w:highlight w:val="white"/>
              </w:rPr>
              <w:t>Quizzes</w:t>
            </w:r>
            <w:r>
              <w:rPr>
                <w:highlight w:val="white"/>
              </w:rPr>
              <w:t xml:space="preserve"> and exams</w:t>
            </w:r>
          </w:p>
          <w:p w:rsidR="00F37C93" w:rsidRDefault="00F37C93">
            <w:pPr>
              <w:shd w:val="clear" w:color="auto" w:fill="FFFFFF"/>
              <w:spacing w:before="40" w:after="40"/>
              <w:ind w:left="720"/>
            </w:pPr>
          </w:p>
        </w:tc>
      </w:tr>
      <w:tr w:rsidR="00F37C93">
        <w:trPr>
          <w:trHeight w:val="1300"/>
        </w:trPr>
        <w:tc>
          <w:tcPr>
            <w:tcW w:w="434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rsidR="00F37C93" w:rsidRDefault="003C7058">
            <w:pPr>
              <w:numPr>
                <w:ilvl w:val="0"/>
                <w:numId w:val="10"/>
              </w:numPr>
              <w:spacing w:before="40" w:after="40"/>
              <w:ind w:left="630"/>
              <w:contextualSpacing/>
            </w:pPr>
            <w:r>
              <w:t>Identify and investigate classic historical events and current environmental health risks, hazards, and protective factors</w:t>
            </w:r>
          </w:p>
        </w:tc>
        <w:tc>
          <w:tcPr>
            <w:tcW w:w="1853" w:type="dxa"/>
            <w:tcBorders>
              <w:top w:val="nil"/>
              <w:left w:val="nil"/>
              <w:bottom w:val="single" w:sz="6" w:space="0" w:color="984806"/>
              <w:right w:val="single" w:sz="6" w:space="0" w:color="984806"/>
            </w:tcBorders>
            <w:tcMar>
              <w:top w:w="0" w:type="dxa"/>
              <w:left w:w="0" w:type="dxa"/>
              <w:bottom w:w="0" w:type="dxa"/>
              <w:right w:w="0" w:type="dxa"/>
            </w:tcMar>
          </w:tcPr>
          <w:p w:rsidR="00F37C93" w:rsidRDefault="003C7058">
            <w:pPr>
              <w:spacing w:before="40" w:after="40"/>
              <w:ind w:left="180"/>
            </w:pPr>
            <w:r>
              <w:t>RCHES* 1, 4, 7</w:t>
            </w:r>
          </w:p>
          <w:p w:rsidR="00F37C93" w:rsidRDefault="003C7058">
            <w:pPr>
              <w:spacing w:before="40" w:after="40"/>
              <w:ind w:left="180"/>
            </w:pPr>
            <w:r>
              <w:t>CEPH* 1, 2, 3, 4, 5</w:t>
            </w:r>
          </w:p>
        </w:tc>
        <w:tc>
          <w:tcPr>
            <w:tcW w:w="4605" w:type="dxa"/>
            <w:tcBorders>
              <w:top w:val="nil"/>
              <w:left w:val="nil"/>
              <w:bottom w:val="single" w:sz="6" w:space="0" w:color="984806"/>
              <w:right w:val="single" w:sz="6" w:space="0" w:color="984806"/>
            </w:tcBorders>
            <w:tcMar>
              <w:top w:w="0" w:type="dxa"/>
              <w:left w:w="0" w:type="dxa"/>
              <w:bottom w:w="0" w:type="dxa"/>
              <w:right w:w="0" w:type="dxa"/>
            </w:tcMar>
          </w:tcPr>
          <w:p w:rsidR="00F37C93" w:rsidRDefault="003C7058">
            <w:pPr>
              <w:numPr>
                <w:ilvl w:val="0"/>
                <w:numId w:val="17"/>
              </w:numPr>
              <w:shd w:val="clear" w:color="auto" w:fill="FFFFFF"/>
              <w:spacing w:before="40" w:after="40"/>
              <w:ind w:left="720"/>
              <w:contextualSpacing/>
            </w:pPr>
            <w:r>
              <w:t>Discussion boards</w:t>
            </w:r>
          </w:p>
          <w:p w:rsidR="00F37C93" w:rsidRDefault="003C7058">
            <w:pPr>
              <w:numPr>
                <w:ilvl w:val="0"/>
                <w:numId w:val="17"/>
              </w:numPr>
              <w:shd w:val="clear" w:color="auto" w:fill="FFFFFF"/>
              <w:spacing w:before="40" w:after="40"/>
              <w:ind w:left="720"/>
              <w:contextualSpacing/>
            </w:pPr>
            <w:r>
              <w:t>Group projects</w:t>
            </w:r>
          </w:p>
          <w:p w:rsidR="00F37C93" w:rsidRDefault="003C7058">
            <w:pPr>
              <w:numPr>
                <w:ilvl w:val="0"/>
                <w:numId w:val="17"/>
              </w:numPr>
              <w:shd w:val="clear" w:color="auto" w:fill="FFFFFF"/>
              <w:spacing w:before="40" w:after="40"/>
              <w:ind w:left="720"/>
              <w:contextualSpacing/>
            </w:pPr>
            <w:r>
              <w:t>Classroom activities and discussion</w:t>
            </w:r>
          </w:p>
          <w:p w:rsidR="00F37C93" w:rsidRDefault="003C7058">
            <w:pPr>
              <w:numPr>
                <w:ilvl w:val="0"/>
                <w:numId w:val="17"/>
              </w:numPr>
              <w:shd w:val="clear" w:color="auto" w:fill="FFFFFF"/>
              <w:spacing w:before="40" w:after="40"/>
              <w:ind w:left="720"/>
              <w:contextualSpacing/>
              <w:rPr>
                <w:highlight w:val="white"/>
              </w:rPr>
            </w:pPr>
            <w:r>
              <w:rPr>
                <w:color w:val="333333"/>
                <w:highlight w:val="white"/>
              </w:rPr>
              <w:t>Quizzes</w:t>
            </w:r>
            <w:r>
              <w:rPr>
                <w:highlight w:val="white"/>
              </w:rPr>
              <w:t xml:space="preserve"> and exams</w:t>
            </w:r>
          </w:p>
          <w:p w:rsidR="00F37C93" w:rsidRDefault="003C7058">
            <w:pPr>
              <w:numPr>
                <w:ilvl w:val="0"/>
                <w:numId w:val="17"/>
              </w:numPr>
              <w:shd w:val="clear" w:color="auto" w:fill="FFFFFF"/>
              <w:spacing w:before="40" w:after="40"/>
              <w:ind w:left="720"/>
              <w:contextualSpacing/>
              <w:rPr>
                <w:highlight w:val="white"/>
              </w:rPr>
            </w:pPr>
            <w:r>
              <w:rPr>
                <w:highlight w:val="white"/>
              </w:rPr>
              <w:t>Final project and presentation</w:t>
            </w:r>
          </w:p>
        </w:tc>
      </w:tr>
      <w:tr w:rsidR="00F37C93">
        <w:trPr>
          <w:trHeight w:val="1260"/>
        </w:trPr>
        <w:tc>
          <w:tcPr>
            <w:tcW w:w="434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rsidR="00F37C93" w:rsidRDefault="003C7058">
            <w:pPr>
              <w:numPr>
                <w:ilvl w:val="0"/>
                <w:numId w:val="24"/>
              </w:numPr>
              <w:spacing w:before="40" w:after="40"/>
              <w:contextualSpacing/>
            </w:pPr>
            <w:r>
              <w:t>Explain and illustrate with examples how factors such as health beliefs; environmental risks, hazards and protective factors; health-related disparities; policies and laws; and public and interpersonal communications influence environmental health promotion and environmental justice</w:t>
            </w:r>
          </w:p>
        </w:tc>
        <w:tc>
          <w:tcPr>
            <w:tcW w:w="1853" w:type="dxa"/>
            <w:tcBorders>
              <w:top w:val="nil"/>
              <w:left w:val="nil"/>
              <w:bottom w:val="single" w:sz="6" w:space="0" w:color="984806"/>
              <w:right w:val="single" w:sz="6" w:space="0" w:color="984806"/>
            </w:tcBorders>
            <w:tcMar>
              <w:top w:w="0" w:type="dxa"/>
              <w:left w:w="0" w:type="dxa"/>
              <w:bottom w:w="0" w:type="dxa"/>
              <w:right w:w="0" w:type="dxa"/>
            </w:tcMar>
          </w:tcPr>
          <w:p w:rsidR="00F37C93" w:rsidRDefault="003C7058">
            <w:pPr>
              <w:spacing w:before="40" w:after="40"/>
              <w:ind w:left="180"/>
            </w:pPr>
            <w:r>
              <w:t>RCHES* 1, 4, 6</w:t>
            </w:r>
          </w:p>
          <w:p w:rsidR="00F37C93" w:rsidRDefault="003C7058">
            <w:pPr>
              <w:spacing w:before="40" w:after="40"/>
              <w:ind w:left="180"/>
            </w:pPr>
            <w:r>
              <w:t>CEPH* 2, 3, 4, 5</w:t>
            </w:r>
            <w:proofErr w:type="gramStart"/>
            <w:r>
              <w:t>, ,</w:t>
            </w:r>
            <w:proofErr w:type="gramEnd"/>
            <w:r>
              <w:t xml:space="preserve"> 8, 9</w:t>
            </w:r>
          </w:p>
        </w:tc>
        <w:tc>
          <w:tcPr>
            <w:tcW w:w="4605" w:type="dxa"/>
            <w:tcBorders>
              <w:top w:val="nil"/>
              <w:left w:val="nil"/>
              <w:bottom w:val="single" w:sz="6" w:space="0" w:color="984806"/>
              <w:right w:val="single" w:sz="6" w:space="0" w:color="984806"/>
            </w:tcBorders>
            <w:tcMar>
              <w:top w:w="0" w:type="dxa"/>
              <w:left w:w="0" w:type="dxa"/>
              <w:bottom w:w="0" w:type="dxa"/>
              <w:right w:w="0" w:type="dxa"/>
            </w:tcMar>
          </w:tcPr>
          <w:p w:rsidR="00F37C93" w:rsidRDefault="003C7058">
            <w:pPr>
              <w:numPr>
                <w:ilvl w:val="0"/>
                <w:numId w:val="19"/>
              </w:numPr>
              <w:shd w:val="clear" w:color="auto" w:fill="FFFFFF"/>
              <w:spacing w:before="40" w:after="40"/>
              <w:ind w:left="720"/>
              <w:contextualSpacing/>
            </w:pPr>
            <w:r>
              <w:t>Discussion boards</w:t>
            </w:r>
          </w:p>
          <w:p w:rsidR="00F37C93" w:rsidRDefault="003C7058">
            <w:pPr>
              <w:numPr>
                <w:ilvl w:val="0"/>
                <w:numId w:val="19"/>
              </w:numPr>
              <w:shd w:val="clear" w:color="auto" w:fill="FFFFFF"/>
              <w:spacing w:before="40" w:after="40"/>
              <w:ind w:left="720"/>
              <w:contextualSpacing/>
            </w:pPr>
            <w:r>
              <w:t>Group projects</w:t>
            </w:r>
          </w:p>
          <w:p w:rsidR="00F37C93" w:rsidRDefault="003C7058">
            <w:pPr>
              <w:numPr>
                <w:ilvl w:val="0"/>
                <w:numId w:val="19"/>
              </w:numPr>
              <w:shd w:val="clear" w:color="auto" w:fill="FFFFFF"/>
              <w:spacing w:before="40" w:after="40"/>
              <w:ind w:left="720"/>
              <w:contextualSpacing/>
            </w:pPr>
            <w:r>
              <w:t>Classroom activities and discussion</w:t>
            </w:r>
          </w:p>
          <w:p w:rsidR="00F37C93" w:rsidRDefault="003C7058">
            <w:pPr>
              <w:numPr>
                <w:ilvl w:val="0"/>
                <w:numId w:val="19"/>
              </w:numPr>
              <w:shd w:val="clear" w:color="auto" w:fill="FFFFFF"/>
              <w:spacing w:before="40" w:after="40"/>
              <w:ind w:left="720"/>
              <w:contextualSpacing/>
              <w:rPr>
                <w:highlight w:val="white"/>
              </w:rPr>
            </w:pPr>
            <w:r>
              <w:rPr>
                <w:color w:val="333333"/>
                <w:highlight w:val="white"/>
              </w:rPr>
              <w:t>Quizzes</w:t>
            </w:r>
            <w:r>
              <w:rPr>
                <w:highlight w:val="white"/>
              </w:rPr>
              <w:t xml:space="preserve"> and exams</w:t>
            </w:r>
          </w:p>
          <w:p w:rsidR="00F37C93" w:rsidRDefault="003C7058">
            <w:pPr>
              <w:numPr>
                <w:ilvl w:val="0"/>
                <w:numId w:val="19"/>
              </w:numPr>
              <w:shd w:val="clear" w:color="auto" w:fill="FFFFFF"/>
              <w:spacing w:before="40" w:after="40"/>
              <w:ind w:left="720"/>
              <w:contextualSpacing/>
              <w:rPr>
                <w:highlight w:val="white"/>
              </w:rPr>
            </w:pPr>
            <w:r>
              <w:rPr>
                <w:highlight w:val="white"/>
              </w:rPr>
              <w:t>Final project and presentation</w:t>
            </w:r>
          </w:p>
        </w:tc>
      </w:tr>
      <w:tr w:rsidR="00F37C93">
        <w:trPr>
          <w:trHeight w:val="920"/>
        </w:trPr>
        <w:tc>
          <w:tcPr>
            <w:tcW w:w="434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rsidR="00F37C93" w:rsidRDefault="003C7058">
            <w:pPr>
              <w:numPr>
                <w:ilvl w:val="0"/>
                <w:numId w:val="25"/>
              </w:numPr>
              <w:spacing w:before="40" w:after="40"/>
              <w:ind w:left="540"/>
              <w:contextualSpacing/>
              <w:rPr>
                <w:sz w:val="20"/>
                <w:szCs w:val="20"/>
              </w:rPr>
            </w:pPr>
            <w:r>
              <w:t>Find, retrieve, and utilize resources on environmental health promotion and environmental justice</w:t>
            </w:r>
          </w:p>
        </w:tc>
        <w:tc>
          <w:tcPr>
            <w:tcW w:w="1853" w:type="dxa"/>
            <w:tcBorders>
              <w:top w:val="nil"/>
              <w:left w:val="nil"/>
              <w:bottom w:val="single" w:sz="6" w:space="0" w:color="984806"/>
              <w:right w:val="single" w:sz="6" w:space="0" w:color="984806"/>
            </w:tcBorders>
            <w:tcMar>
              <w:top w:w="0" w:type="dxa"/>
              <w:left w:w="0" w:type="dxa"/>
              <w:bottom w:w="0" w:type="dxa"/>
              <w:right w:w="0" w:type="dxa"/>
            </w:tcMar>
          </w:tcPr>
          <w:p w:rsidR="00F37C93" w:rsidRDefault="00F75EF1">
            <w:pPr>
              <w:spacing w:before="40" w:after="40"/>
              <w:ind w:left="180"/>
            </w:pPr>
            <w:r>
              <w:t>RCHES*</w:t>
            </w:r>
            <w:r w:rsidR="003C7058">
              <w:t xml:space="preserve"> 1, 4, 6, 7</w:t>
            </w:r>
          </w:p>
          <w:p w:rsidR="00F37C93" w:rsidRDefault="003C7058">
            <w:pPr>
              <w:spacing w:before="40" w:after="40"/>
              <w:ind w:left="180"/>
            </w:pPr>
            <w:r>
              <w:t>CEPH* 2, 4, 9, 10</w:t>
            </w:r>
          </w:p>
        </w:tc>
        <w:tc>
          <w:tcPr>
            <w:tcW w:w="4605" w:type="dxa"/>
            <w:tcBorders>
              <w:top w:val="nil"/>
              <w:left w:val="nil"/>
              <w:bottom w:val="single" w:sz="6" w:space="0" w:color="984806"/>
              <w:right w:val="single" w:sz="6" w:space="0" w:color="984806"/>
            </w:tcBorders>
            <w:tcMar>
              <w:top w:w="0" w:type="dxa"/>
              <w:left w:w="0" w:type="dxa"/>
              <w:bottom w:w="0" w:type="dxa"/>
              <w:right w:w="0" w:type="dxa"/>
            </w:tcMar>
          </w:tcPr>
          <w:p w:rsidR="00F37C93" w:rsidRDefault="003C7058">
            <w:pPr>
              <w:numPr>
                <w:ilvl w:val="0"/>
                <w:numId w:val="21"/>
              </w:numPr>
              <w:shd w:val="clear" w:color="auto" w:fill="FFFFFF"/>
              <w:spacing w:before="40" w:after="40"/>
              <w:contextualSpacing/>
            </w:pPr>
            <w:r>
              <w:t>Group projects</w:t>
            </w:r>
          </w:p>
          <w:p w:rsidR="00F37C93" w:rsidRDefault="003C7058">
            <w:pPr>
              <w:numPr>
                <w:ilvl w:val="0"/>
                <w:numId w:val="21"/>
              </w:numPr>
              <w:shd w:val="clear" w:color="auto" w:fill="FFFFFF"/>
              <w:spacing w:before="40" w:after="40"/>
              <w:contextualSpacing/>
            </w:pPr>
            <w:r>
              <w:t>Classroom activities and discussion</w:t>
            </w:r>
          </w:p>
          <w:p w:rsidR="00F37C93" w:rsidRDefault="003C7058">
            <w:pPr>
              <w:numPr>
                <w:ilvl w:val="0"/>
                <w:numId w:val="21"/>
              </w:numPr>
              <w:shd w:val="clear" w:color="auto" w:fill="FFFFFF"/>
              <w:spacing w:before="40" w:after="40"/>
              <w:contextualSpacing/>
              <w:rPr>
                <w:highlight w:val="white"/>
              </w:rPr>
            </w:pPr>
            <w:r>
              <w:rPr>
                <w:highlight w:val="white"/>
              </w:rPr>
              <w:t>Final project and presentation</w:t>
            </w:r>
          </w:p>
        </w:tc>
      </w:tr>
    </w:tbl>
    <w:p w:rsidR="00F37C93" w:rsidRDefault="003C7058">
      <w:pPr>
        <w:numPr>
          <w:ilvl w:val="0"/>
          <w:numId w:val="21"/>
        </w:numPr>
        <w:ind w:left="1080"/>
        <w:contextualSpacing/>
        <w:rPr>
          <w:sz w:val="20"/>
          <w:szCs w:val="20"/>
        </w:rPr>
      </w:pPr>
      <w:r>
        <w:t xml:space="preserve">* Course alignment with professional domains, skills and responsibilities for BS in Community Health and Wellness program of study.  RCHES: </w:t>
      </w:r>
      <w:hyperlink r:id="rId8">
        <w:r>
          <w:rPr>
            <w:color w:val="0000FF"/>
            <w:u w:val="single"/>
          </w:rPr>
          <w:t>Responsibilities and Competencies for Health Education/Promotion Specialists</w:t>
        </w:r>
      </w:hyperlink>
      <w:r>
        <w:t xml:space="preserve"> and CEPH: </w:t>
      </w:r>
      <w:hyperlink r:id="rId9">
        <w:r>
          <w:rPr>
            <w:i/>
            <w:color w:val="0000FF"/>
            <w:sz w:val="20"/>
            <w:szCs w:val="20"/>
            <w:u w:val="single"/>
          </w:rPr>
          <w:t>Curriculum Guide for Undergraduate Programs in Public Health Education</w:t>
        </w:r>
      </w:hyperlink>
      <w:r>
        <w:rPr>
          <w:sz w:val="20"/>
          <w:szCs w:val="20"/>
        </w:rPr>
        <w:t xml:space="preserve"> </w:t>
      </w:r>
    </w:p>
    <w:p w:rsidR="00F37C93" w:rsidRDefault="003C7058">
      <w:r>
        <w:t xml:space="preserve"> </w:t>
      </w:r>
    </w:p>
    <w:tbl>
      <w:tblPr>
        <w:tblStyle w:val="a2"/>
        <w:tblW w:w="1080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0800"/>
      </w:tblGrid>
      <w:tr w:rsidR="00F37C93">
        <w:trPr>
          <w:trHeight w:val="260"/>
        </w:trPr>
        <w:tc>
          <w:tcPr>
            <w:tcW w:w="10800" w:type="dxa"/>
            <w:tcBorders>
              <w:top w:val="single" w:sz="6" w:space="0" w:color="984806"/>
              <w:left w:val="single" w:sz="6" w:space="0" w:color="984806"/>
              <w:bottom w:val="single" w:sz="6" w:space="0" w:color="984806"/>
              <w:right w:val="single" w:sz="6" w:space="0" w:color="984806"/>
            </w:tcBorders>
            <w:tcMar>
              <w:top w:w="0" w:type="dxa"/>
              <w:left w:w="0" w:type="dxa"/>
              <w:bottom w:w="0" w:type="dxa"/>
              <w:right w:w="0" w:type="dxa"/>
            </w:tcMar>
          </w:tcPr>
          <w:p w:rsidR="00F37C93" w:rsidRDefault="003C7058">
            <w:pPr>
              <w:spacing w:before="40" w:after="40"/>
              <w:ind w:left="-80"/>
            </w:pPr>
            <w:r>
              <w:lastRenderedPageBreak/>
              <w:t xml:space="preserve">     B.19. </w:t>
            </w:r>
            <w:r>
              <w:rPr>
                <w:b/>
                <w:color w:val="0000FF"/>
              </w:rPr>
              <w:t>Topical outline: Do NOT insert whole syllabus, we just need a two-tier outline</w:t>
            </w:r>
            <w:r>
              <w:t xml:space="preserve"> </w:t>
            </w:r>
          </w:p>
        </w:tc>
      </w:tr>
      <w:tr w:rsidR="00F37C93">
        <w:trPr>
          <w:trHeight w:val="5240"/>
        </w:trPr>
        <w:tc>
          <w:tcPr>
            <w:tcW w:w="10800" w:type="dxa"/>
            <w:tcBorders>
              <w:top w:val="nil"/>
              <w:left w:val="single" w:sz="6" w:space="0" w:color="984806"/>
              <w:bottom w:val="single" w:sz="6" w:space="0" w:color="984806"/>
              <w:right w:val="single" w:sz="6" w:space="0" w:color="984806"/>
            </w:tcBorders>
            <w:tcMar>
              <w:top w:w="0" w:type="dxa"/>
              <w:left w:w="0" w:type="dxa"/>
              <w:bottom w:w="0" w:type="dxa"/>
              <w:right w:w="0" w:type="dxa"/>
            </w:tcMar>
          </w:tcPr>
          <w:p w:rsidR="00F37C93" w:rsidRDefault="003C7058">
            <w:pPr>
              <w:numPr>
                <w:ilvl w:val="0"/>
                <w:numId w:val="11"/>
              </w:numPr>
              <w:spacing w:before="40" w:after="40" w:line="276" w:lineRule="auto"/>
              <w:contextualSpacing/>
            </w:pPr>
            <w:r>
              <w:t>Introduction to Environmental Health</w:t>
            </w:r>
          </w:p>
          <w:p w:rsidR="00F37C93" w:rsidRDefault="003C7058">
            <w:pPr>
              <w:numPr>
                <w:ilvl w:val="0"/>
                <w:numId w:val="23"/>
              </w:numPr>
              <w:spacing w:before="40" w:after="40" w:line="276" w:lineRule="auto"/>
              <w:contextualSpacing/>
            </w:pPr>
            <w:r>
              <w:t>Definitions and overview</w:t>
            </w:r>
          </w:p>
          <w:p w:rsidR="00F37C93" w:rsidRDefault="003C7058">
            <w:pPr>
              <w:numPr>
                <w:ilvl w:val="0"/>
                <w:numId w:val="23"/>
              </w:numPr>
              <w:spacing w:before="40" w:after="40" w:line="276" w:lineRule="auto"/>
              <w:contextualSpacing/>
            </w:pPr>
            <w:r>
              <w:t>Population and the environment</w:t>
            </w:r>
          </w:p>
          <w:p w:rsidR="00F37C93" w:rsidRDefault="003C7058">
            <w:pPr>
              <w:numPr>
                <w:ilvl w:val="0"/>
                <w:numId w:val="23"/>
              </w:numPr>
              <w:spacing w:before="40" w:after="40" w:line="276" w:lineRule="auto"/>
              <w:contextualSpacing/>
            </w:pPr>
            <w:r>
              <w:t>Historical background</w:t>
            </w:r>
          </w:p>
          <w:p w:rsidR="00F37C93" w:rsidRDefault="003C7058">
            <w:pPr>
              <w:numPr>
                <w:ilvl w:val="0"/>
                <w:numId w:val="23"/>
              </w:numPr>
              <w:spacing w:before="40" w:after="40" w:line="276" w:lineRule="auto"/>
              <w:contextualSpacing/>
            </w:pPr>
            <w:r>
              <w:t>Agencies and organizations</w:t>
            </w:r>
          </w:p>
          <w:p w:rsidR="00F37C93" w:rsidRDefault="003C7058">
            <w:pPr>
              <w:spacing w:before="40" w:after="40" w:line="276" w:lineRule="auto"/>
              <w:ind w:left="720"/>
            </w:pPr>
            <w:r>
              <w:t>II. Policy and Law</w:t>
            </w:r>
          </w:p>
          <w:p w:rsidR="00F37C93" w:rsidRDefault="003C7058">
            <w:pPr>
              <w:numPr>
                <w:ilvl w:val="0"/>
                <w:numId w:val="9"/>
              </w:numPr>
              <w:spacing w:before="40" w:after="40" w:line="276" w:lineRule="auto"/>
              <w:contextualSpacing/>
            </w:pPr>
            <w:r>
              <w:t>Overview of processes</w:t>
            </w:r>
          </w:p>
          <w:p w:rsidR="00F37C93" w:rsidRDefault="003C7058">
            <w:pPr>
              <w:numPr>
                <w:ilvl w:val="0"/>
                <w:numId w:val="9"/>
              </w:numPr>
              <w:spacing w:before="40" w:after="40" w:line="276" w:lineRule="auto"/>
              <w:contextualSpacing/>
            </w:pPr>
            <w:r>
              <w:t>Current environmental policy and law</w:t>
            </w:r>
          </w:p>
          <w:p w:rsidR="00F37C93" w:rsidRDefault="003C7058">
            <w:pPr>
              <w:numPr>
                <w:ilvl w:val="0"/>
                <w:numId w:val="9"/>
              </w:numPr>
              <w:spacing w:before="40" w:after="40" w:line="276" w:lineRule="auto"/>
              <w:contextualSpacing/>
            </w:pPr>
            <w:r>
              <w:t>Policy, law, and environmental justice</w:t>
            </w:r>
          </w:p>
          <w:p w:rsidR="00F37C93" w:rsidRDefault="003C7058">
            <w:pPr>
              <w:numPr>
                <w:ilvl w:val="0"/>
                <w:numId w:val="9"/>
              </w:numPr>
              <w:spacing w:before="40" w:after="40" w:line="276" w:lineRule="auto"/>
              <w:contextualSpacing/>
            </w:pPr>
            <w:r>
              <w:t>The role of governmental agencies in enforcement</w:t>
            </w:r>
          </w:p>
          <w:p w:rsidR="00F37C93" w:rsidRDefault="003C7058">
            <w:pPr>
              <w:spacing w:before="40" w:after="40" w:line="276" w:lineRule="auto"/>
              <w:ind w:left="720"/>
            </w:pPr>
            <w:r>
              <w:t>III. Environmental Epidemiology</w:t>
            </w:r>
          </w:p>
          <w:p w:rsidR="00F37C93" w:rsidRDefault="003C7058">
            <w:pPr>
              <w:numPr>
                <w:ilvl w:val="0"/>
                <w:numId w:val="2"/>
              </w:numPr>
              <w:spacing w:before="40" w:after="40" w:line="276" w:lineRule="auto"/>
              <w:contextualSpacing/>
            </w:pPr>
            <w:r>
              <w:t>Brief history of the field</w:t>
            </w:r>
          </w:p>
          <w:p w:rsidR="00F37C93" w:rsidRDefault="003C7058">
            <w:pPr>
              <w:numPr>
                <w:ilvl w:val="0"/>
                <w:numId w:val="2"/>
              </w:numPr>
              <w:spacing w:before="40" w:after="40" w:line="276" w:lineRule="auto"/>
              <w:contextualSpacing/>
            </w:pPr>
            <w:r>
              <w:t xml:space="preserve">Strategies of environmental epidemiology        </w:t>
            </w:r>
            <w:r>
              <w:tab/>
            </w:r>
          </w:p>
          <w:p w:rsidR="00F37C93" w:rsidRDefault="003C7058">
            <w:pPr>
              <w:numPr>
                <w:ilvl w:val="0"/>
                <w:numId w:val="2"/>
              </w:numPr>
              <w:spacing w:before="40" w:after="40" w:line="276" w:lineRule="auto"/>
              <w:contextualSpacing/>
            </w:pPr>
            <w:r>
              <w:t>Causality, risks, and hazards</w:t>
            </w:r>
          </w:p>
          <w:p w:rsidR="00F37C93" w:rsidRDefault="003C7058">
            <w:pPr>
              <w:spacing w:before="40" w:after="40" w:line="276" w:lineRule="auto"/>
              <w:ind w:left="720"/>
            </w:pPr>
            <w:r>
              <w:t>IV. Toxicology</w:t>
            </w:r>
          </w:p>
          <w:p w:rsidR="00F37C93" w:rsidRDefault="003C7058">
            <w:pPr>
              <w:numPr>
                <w:ilvl w:val="0"/>
                <w:numId w:val="6"/>
              </w:numPr>
              <w:spacing w:before="40" w:after="40" w:line="276" w:lineRule="auto"/>
              <w:contextualSpacing/>
            </w:pPr>
            <w:r>
              <w:t>Sources, sinks, and dosage effects</w:t>
            </w:r>
          </w:p>
          <w:p w:rsidR="00F37C93" w:rsidRDefault="003C7058">
            <w:pPr>
              <w:numPr>
                <w:ilvl w:val="0"/>
                <w:numId w:val="6"/>
              </w:numPr>
              <w:spacing w:before="40" w:after="40" w:line="276" w:lineRule="auto"/>
              <w:contextualSpacing/>
            </w:pPr>
            <w:r>
              <w:t>Risk assessment</w:t>
            </w:r>
          </w:p>
          <w:p w:rsidR="00F37C93" w:rsidRDefault="003C7058">
            <w:pPr>
              <w:numPr>
                <w:ilvl w:val="0"/>
                <w:numId w:val="6"/>
              </w:numPr>
              <w:spacing w:before="40" w:after="40" w:line="276" w:lineRule="auto"/>
              <w:contextualSpacing/>
            </w:pPr>
            <w:r>
              <w:t>Social and environmental justice</w:t>
            </w:r>
          </w:p>
          <w:p w:rsidR="00F37C93" w:rsidRDefault="003C7058">
            <w:pPr>
              <w:numPr>
                <w:ilvl w:val="0"/>
                <w:numId w:val="6"/>
              </w:numPr>
              <w:spacing w:before="40" w:after="40" w:line="276" w:lineRule="auto"/>
              <w:contextualSpacing/>
            </w:pPr>
            <w:r>
              <w:t>Prevention and remediation</w:t>
            </w:r>
          </w:p>
          <w:p w:rsidR="00F37C93" w:rsidRDefault="003C7058">
            <w:pPr>
              <w:numPr>
                <w:ilvl w:val="0"/>
                <w:numId w:val="6"/>
              </w:numPr>
              <w:spacing w:before="40" w:after="40" w:line="276" w:lineRule="auto"/>
              <w:contextualSpacing/>
            </w:pPr>
            <w:r>
              <w:t>Population health promotion</w:t>
            </w:r>
          </w:p>
          <w:p w:rsidR="00F37C93" w:rsidRDefault="003C7058">
            <w:pPr>
              <w:spacing w:before="40" w:after="40" w:line="276" w:lineRule="auto"/>
              <w:ind w:left="720"/>
            </w:pPr>
            <w:r>
              <w:t>V. Vector-borne and Zoonotic diseases and parasites</w:t>
            </w:r>
          </w:p>
          <w:p w:rsidR="00F37C93" w:rsidRDefault="003C7058">
            <w:pPr>
              <w:numPr>
                <w:ilvl w:val="0"/>
                <w:numId w:val="13"/>
              </w:numPr>
              <w:spacing w:before="40" w:after="40" w:line="276" w:lineRule="auto"/>
              <w:contextualSpacing/>
            </w:pPr>
            <w:r>
              <w:t>Definitions and overview</w:t>
            </w:r>
          </w:p>
          <w:p w:rsidR="00F37C93" w:rsidRDefault="003C7058">
            <w:pPr>
              <w:numPr>
                <w:ilvl w:val="0"/>
                <w:numId w:val="13"/>
              </w:numPr>
              <w:spacing w:before="40" w:after="40" w:line="276" w:lineRule="auto"/>
              <w:contextualSpacing/>
            </w:pPr>
            <w:r>
              <w:t>Transmission</w:t>
            </w:r>
          </w:p>
          <w:p w:rsidR="00F37C93" w:rsidRDefault="003C7058">
            <w:pPr>
              <w:numPr>
                <w:ilvl w:val="0"/>
                <w:numId w:val="13"/>
              </w:numPr>
              <w:spacing w:before="40" w:after="40" w:line="276" w:lineRule="auto"/>
              <w:contextualSpacing/>
            </w:pPr>
            <w:r>
              <w:t>Case examples</w:t>
            </w:r>
          </w:p>
          <w:p w:rsidR="00F37C93" w:rsidRDefault="003C7058">
            <w:pPr>
              <w:numPr>
                <w:ilvl w:val="0"/>
                <w:numId w:val="13"/>
              </w:numPr>
              <w:spacing w:before="40" w:after="40" w:line="276" w:lineRule="auto"/>
              <w:contextualSpacing/>
            </w:pPr>
            <w:r>
              <w:t>Prevention and health promotion</w:t>
            </w:r>
          </w:p>
          <w:p w:rsidR="00F37C93" w:rsidRDefault="003C7058">
            <w:pPr>
              <w:spacing w:before="40" w:after="40" w:line="276" w:lineRule="auto"/>
              <w:ind w:left="720"/>
            </w:pPr>
            <w:r>
              <w:t>VI. Water-borne disease</w:t>
            </w:r>
          </w:p>
          <w:p w:rsidR="00F37C93" w:rsidRDefault="003C7058">
            <w:pPr>
              <w:numPr>
                <w:ilvl w:val="0"/>
                <w:numId w:val="20"/>
              </w:numPr>
              <w:spacing w:before="40" w:after="40" w:line="276" w:lineRule="auto"/>
              <w:contextualSpacing/>
            </w:pPr>
            <w:r>
              <w:t>Definitions and overview</w:t>
            </w:r>
          </w:p>
          <w:p w:rsidR="00F37C93" w:rsidRDefault="003C7058">
            <w:pPr>
              <w:numPr>
                <w:ilvl w:val="0"/>
                <w:numId w:val="20"/>
              </w:numPr>
              <w:spacing w:before="40" w:after="40" w:line="276" w:lineRule="auto"/>
              <w:contextualSpacing/>
            </w:pPr>
            <w:r>
              <w:t>Transmission</w:t>
            </w:r>
          </w:p>
          <w:p w:rsidR="00F37C93" w:rsidRDefault="003C7058">
            <w:pPr>
              <w:numPr>
                <w:ilvl w:val="0"/>
                <w:numId w:val="20"/>
              </w:numPr>
              <w:spacing w:before="40" w:after="40" w:line="276" w:lineRule="auto"/>
              <w:contextualSpacing/>
            </w:pPr>
            <w:r>
              <w:t>Case examples: US and international</w:t>
            </w:r>
          </w:p>
          <w:p w:rsidR="00F37C93" w:rsidRDefault="003C7058">
            <w:pPr>
              <w:numPr>
                <w:ilvl w:val="0"/>
                <w:numId w:val="20"/>
              </w:numPr>
              <w:spacing w:before="40" w:after="40" w:line="276" w:lineRule="auto"/>
              <w:contextualSpacing/>
            </w:pPr>
            <w:r>
              <w:t>Prevention and health promotion</w:t>
            </w:r>
          </w:p>
          <w:p w:rsidR="00F37C93" w:rsidRDefault="003C7058">
            <w:pPr>
              <w:spacing w:before="40" w:after="40" w:line="276" w:lineRule="auto"/>
              <w:ind w:left="720"/>
            </w:pPr>
            <w:r>
              <w:t>VII. Agricultural chemicals</w:t>
            </w:r>
          </w:p>
          <w:p w:rsidR="00F37C93" w:rsidRDefault="003C7058">
            <w:pPr>
              <w:numPr>
                <w:ilvl w:val="0"/>
                <w:numId w:val="22"/>
              </w:numPr>
              <w:spacing w:before="40" w:after="40" w:line="276" w:lineRule="auto"/>
              <w:contextualSpacing/>
            </w:pPr>
            <w:r>
              <w:t>The CERCLA Priority List of Hazardous Substances</w:t>
            </w:r>
          </w:p>
          <w:p w:rsidR="00F37C93" w:rsidRDefault="003C7058">
            <w:pPr>
              <w:numPr>
                <w:ilvl w:val="0"/>
                <w:numId w:val="22"/>
              </w:numPr>
              <w:spacing w:before="40" w:after="40" w:line="276" w:lineRule="auto"/>
              <w:contextualSpacing/>
            </w:pPr>
            <w:r>
              <w:t>ATSDR List of Hazardous Substances</w:t>
            </w:r>
          </w:p>
          <w:p w:rsidR="00F37C93" w:rsidRDefault="003C7058">
            <w:pPr>
              <w:numPr>
                <w:ilvl w:val="0"/>
                <w:numId w:val="22"/>
              </w:numPr>
              <w:spacing w:before="40" w:after="40" w:line="276" w:lineRule="auto"/>
              <w:contextualSpacing/>
            </w:pPr>
            <w:r>
              <w:t>Case examples: Plastics, environmental estrogens, solvents</w:t>
            </w:r>
          </w:p>
          <w:p w:rsidR="00F37C93" w:rsidRDefault="003C7058">
            <w:pPr>
              <w:numPr>
                <w:ilvl w:val="0"/>
                <w:numId w:val="22"/>
              </w:numPr>
              <w:spacing w:before="40" w:after="40" w:line="276" w:lineRule="auto"/>
              <w:contextualSpacing/>
            </w:pPr>
            <w:r>
              <w:t>Waste disposal, runoff, and environmental justice</w:t>
            </w:r>
          </w:p>
          <w:p w:rsidR="00F37C93" w:rsidRDefault="003C7058">
            <w:pPr>
              <w:spacing w:before="40" w:after="40" w:line="276" w:lineRule="auto"/>
              <w:ind w:left="720"/>
            </w:pPr>
            <w:r>
              <w:t>VII. Household production of health</w:t>
            </w:r>
          </w:p>
          <w:p w:rsidR="00F37C93" w:rsidRDefault="003C7058">
            <w:pPr>
              <w:numPr>
                <w:ilvl w:val="0"/>
                <w:numId w:val="7"/>
              </w:numPr>
              <w:spacing w:before="40" w:after="40" w:line="276" w:lineRule="auto"/>
              <w:contextualSpacing/>
            </w:pPr>
            <w:r>
              <w:t>Household chemicals and medications</w:t>
            </w:r>
          </w:p>
          <w:p w:rsidR="00F37C93" w:rsidRDefault="003C7058">
            <w:pPr>
              <w:numPr>
                <w:ilvl w:val="0"/>
                <w:numId w:val="7"/>
              </w:numPr>
              <w:spacing w:before="40" w:after="40" w:line="276" w:lineRule="auto"/>
              <w:contextualSpacing/>
            </w:pPr>
            <w:r>
              <w:t>Antibiotics and resistance</w:t>
            </w:r>
          </w:p>
          <w:p w:rsidR="00F37C93" w:rsidRDefault="003C7058">
            <w:pPr>
              <w:numPr>
                <w:ilvl w:val="0"/>
                <w:numId w:val="7"/>
              </w:numPr>
              <w:spacing w:before="40" w:after="40" w:line="276" w:lineRule="auto"/>
              <w:contextualSpacing/>
            </w:pPr>
            <w:r>
              <w:t>Household analysis: Air, water, food, safety</w:t>
            </w:r>
          </w:p>
          <w:p w:rsidR="00F37C93" w:rsidRDefault="003C7058">
            <w:pPr>
              <w:spacing w:before="40" w:after="40" w:line="276" w:lineRule="auto"/>
              <w:ind w:left="720"/>
            </w:pPr>
            <w:r>
              <w:t>VIII. Ionizing and non-ionizing radiation</w:t>
            </w:r>
          </w:p>
          <w:p w:rsidR="00F37C93" w:rsidRDefault="003C7058">
            <w:pPr>
              <w:numPr>
                <w:ilvl w:val="0"/>
                <w:numId w:val="15"/>
              </w:numPr>
              <w:spacing w:before="40" w:after="40" w:line="276" w:lineRule="auto"/>
              <w:contextualSpacing/>
            </w:pPr>
            <w:r>
              <w:t>Definitions and overview</w:t>
            </w:r>
          </w:p>
          <w:p w:rsidR="00F37C93" w:rsidRDefault="003C7058">
            <w:pPr>
              <w:numPr>
                <w:ilvl w:val="0"/>
                <w:numId w:val="15"/>
              </w:numPr>
              <w:spacing w:before="40" w:after="40" w:line="276" w:lineRule="auto"/>
              <w:contextualSpacing/>
            </w:pPr>
            <w:r>
              <w:t>Sources and sinks</w:t>
            </w:r>
          </w:p>
          <w:p w:rsidR="00F37C93" w:rsidRDefault="003C7058">
            <w:pPr>
              <w:numPr>
                <w:ilvl w:val="0"/>
                <w:numId w:val="15"/>
              </w:numPr>
              <w:spacing w:before="40" w:after="40" w:line="276" w:lineRule="auto"/>
              <w:contextualSpacing/>
            </w:pPr>
            <w:r>
              <w:lastRenderedPageBreak/>
              <w:t>Health effects of exposure</w:t>
            </w:r>
          </w:p>
          <w:p w:rsidR="00F37C93" w:rsidRDefault="003C7058">
            <w:pPr>
              <w:numPr>
                <w:ilvl w:val="0"/>
                <w:numId w:val="15"/>
              </w:numPr>
              <w:spacing w:before="40" w:after="40" w:line="276" w:lineRule="auto"/>
              <w:contextualSpacing/>
            </w:pPr>
            <w:r>
              <w:t>Waste disposal and environmental justice</w:t>
            </w:r>
          </w:p>
          <w:p w:rsidR="00F37C93" w:rsidRDefault="003C7058">
            <w:pPr>
              <w:spacing w:before="40" w:after="40" w:line="276" w:lineRule="auto"/>
              <w:ind w:left="720"/>
            </w:pPr>
            <w:r>
              <w:t>XIX. Injuries</w:t>
            </w:r>
          </w:p>
          <w:p w:rsidR="00F37C93" w:rsidRDefault="003C7058">
            <w:pPr>
              <w:numPr>
                <w:ilvl w:val="0"/>
                <w:numId w:val="4"/>
              </w:numPr>
              <w:spacing w:before="40" w:after="40" w:line="276" w:lineRule="auto"/>
              <w:contextualSpacing/>
            </w:pPr>
            <w:r>
              <w:t>Accidental injury and death in home and community</w:t>
            </w:r>
          </w:p>
          <w:p w:rsidR="00F37C93" w:rsidRDefault="003C7058">
            <w:pPr>
              <w:numPr>
                <w:ilvl w:val="0"/>
                <w:numId w:val="4"/>
              </w:numPr>
              <w:spacing w:before="40" w:after="40" w:line="276" w:lineRule="auto"/>
              <w:contextualSpacing/>
            </w:pPr>
            <w:r>
              <w:t>Occupational health</w:t>
            </w:r>
          </w:p>
          <w:p w:rsidR="00F37C93" w:rsidRDefault="003C7058">
            <w:pPr>
              <w:spacing w:before="40" w:after="40" w:line="276" w:lineRule="auto"/>
              <w:ind w:left="720"/>
            </w:pPr>
            <w:r>
              <w:t>XX. Climate change</w:t>
            </w:r>
          </w:p>
          <w:p w:rsidR="00F37C93" w:rsidRDefault="003C7058">
            <w:pPr>
              <w:numPr>
                <w:ilvl w:val="0"/>
                <w:numId w:val="14"/>
              </w:numPr>
              <w:spacing w:before="40" w:after="40" w:line="276" w:lineRule="auto"/>
              <w:contextualSpacing/>
            </w:pPr>
            <w:r>
              <w:t>Overview and definitions</w:t>
            </w:r>
          </w:p>
          <w:p w:rsidR="00F37C93" w:rsidRDefault="003C7058">
            <w:pPr>
              <w:numPr>
                <w:ilvl w:val="0"/>
                <w:numId w:val="14"/>
              </w:numPr>
              <w:spacing w:before="40" w:after="40" w:line="276" w:lineRule="auto"/>
              <w:contextualSpacing/>
            </w:pPr>
            <w:r>
              <w:t>Impacts on human health</w:t>
            </w:r>
          </w:p>
          <w:p w:rsidR="00F37C93" w:rsidRDefault="003C7058">
            <w:pPr>
              <w:spacing w:before="40" w:after="40" w:line="276" w:lineRule="auto"/>
              <w:ind w:left="720"/>
            </w:pPr>
            <w:r>
              <w:t>XXI. Review: Prevention and promotion</w:t>
            </w:r>
          </w:p>
          <w:p w:rsidR="00F37C93" w:rsidRDefault="003C7058">
            <w:pPr>
              <w:numPr>
                <w:ilvl w:val="0"/>
                <w:numId w:val="8"/>
              </w:numPr>
              <w:spacing w:before="40" w:after="40" w:line="276" w:lineRule="auto"/>
              <w:contextualSpacing/>
            </w:pPr>
            <w:r>
              <w:rPr>
                <w:highlight w:val="white"/>
              </w:rPr>
              <w:t>Environmental health promotion (intersection between two disciplines; any planned process employing comprehensive health promotion approaches to assess, correct, control, and prevent those factors in the environment that can potentially harm the health and quality of life of present and future generations).</w:t>
            </w:r>
          </w:p>
          <w:p w:rsidR="00F37C93" w:rsidRDefault="003C7058">
            <w:pPr>
              <w:numPr>
                <w:ilvl w:val="0"/>
                <w:numId w:val="8"/>
              </w:numPr>
              <w:spacing w:before="40" w:after="40" w:line="276" w:lineRule="auto"/>
              <w:contextualSpacing/>
            </w:pPr>
            <w:r>
              <w:t>I</w:t>
            </w:r>
            <w:r>
              <w:rPr>
                <w:rFonts w:ascii="Arial" w:eastAsia="Arial" w:hAnsi="Arial" w:cs="Arial"/>
                <w:sz w:val="20"/>
                <w:szCs w:val="20"/>
                <w:highlight w:val="white"/>
              </w:rPr>
              <w:t>nterventions to address current, future, and potential environmental health dilemmas/concerns</w:t>
            </w:r>
          </w:p>
          <w:p w:rsidR="00F37C93" w:rsidRDefault="003C7058">
            <w:pPr>
              <w:numPr>
                <w:ilvl w:val="0"/>
                <w:numId w:val="8"/>
              </w:numPr>
              <w:spacing w:before="40" w:after="40" w:line="276" w:lineRule="auto"/>
              <w:contextualSpacing/>
              <w:rPr>
                <w:rFonts w:ascii="Arial" w:eastAsia="Arial" w:hAnsi="Arial" w:cs="Arial"/>
                <w:sz w:val="20"/>
                <w:szCs w:val="20"/>
                <w:highlight w:val="white"/>
              </w:rPr>
            </w:pPr>
            <w:r>
              <w:rPr>
                <w:rFonts w:ascii="Arial" w:eastAsia="Arial" w:hAnsi="Arial" w:cs="Arial"/>
                <w:sz w:val="20"/>
                <w:szCs w:val="20"/>
                <w:highlight w:val="white"/>
              </w:rPr>
              <w:t xml:space="preserve">Appropriate targets of change </w:t>
            </w:r>
          </w:p>
          <w:p w:rsidR="00F37C93" w:rsidRDefault="003C7058">
            <w:pPr>
              <w:spacing w:before="40" w:after="40" w:line="276" w:lineRule="auto"/>
              <w:ind w:left="720"/>
            </w:pPr>
            <w:r>
              <w:t>XXII. Future directions in environmental health</w:t>
            </w:r>
          </w:p>
          <w:p w:rsidR="00F37C93" w:rsidRDefault="003C7058">
            <w:pPr>
              <w:numPr>
                <w:ilvl w:val="0"/>
                <w:numId w:val="16"/>
              </w:numPr>
              <w:spacing w:before="40" w:after="40" w:line="276" w:lineRule="auto"/>
              <w:contextualSpacing/>
            </w:pPr>
            <w:r>
              <w:t>Integrating environmental exposures of people and place</w:t>
            </w:r>
          </w:p>
          <w:p w:rsidR="00F37C93" w:rsidRDefault="003C7058">
            <w:pPr>
              <w:numPr>
                <w:ilvl w:val="0"/>
                <w:numId w:val="16"/>
              </w:numPr>
              <w:shd w:val="clear" w:color="auto" w:fill="FFFFFF"/>
              <w:spacing w:after="380" w:line="276" w:lineRule="auto"/>
              <w:contextualSpacing/>
            </w:pPr>
            <w:r>
              <w:t>Long-term model of community engagement models focused on dialogue, shared vision, and commitment to community-driven change.</w:t>
            </w:r>
          </w:p>
          <w:p w:rsidR="00F37C93" w:rsidRDefault="003C7058">
            <w:pPr>
              <w:numPr>
                <w:ilvl w:val="0"/>
                <w:numId w:val="16"/>
              </w:numPr>
              <w:shd w:val="clear" w:color="auto" w:fill="FFFFFF"/>
              <w:spacing w:after="380" w:line="276" w:lineRule="auto"/>
              <w:contextualSpacing/>
            </w:pPr>
            <w:r>
              <w:t>Foster initiatives and collaborations that address environmental health concerns expressed by community partners and other stakeholders.</w:t>
            </w:r>
          </w:p>
          <w:p w:rsidR="00F37C93" w:rsidRDefault="00F37C93">
            <w:pPr>
              <w:spacing w:before="40" w:after="40"/>
              <w:ind w:left="720"/>
            </w:pPr>
          </w:p>
        </w:tc>
      </w:tr>
    </w:tbl>
    <w:p w:rsidR="00F37C93" w:rsidRDefault="003C7058">
      <w:pPr>
        <w:pStyle w:val="Heading2"/>
        <w:jc w:val="left"/>
      </w:pPr>
      <w:r>
        <w:lastRenderedPageBreak/>
        <w:t>D. Signatures</w:t>
      </w:r>
    </w:p>
    <w:p w:rsidR="00F37C93" w:rsidRDefault="003C7058">
      <w:pPr>
        <w:numPr>
          <w:ilvl w:val="0"/>
          <w:numId w:val="5"/>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F37C93" w:rsidRDefault="003C7058">
      <w:pPr>
        <w:numPr>
          <w:ilvl w:val="0"/>
          <w:numId w:val="5"/>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F37C93" w:rsidRDefault="003C7058">
      <w:pPr>
        <w:numPr>
          <w:ilvl w:val="0"/>
          <w:numId w:val="5"/>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F37C93" w:rsidRDefault="003C7058">
      <w:pPr>
        <w:numPr>
          <w:ilvl w:val="0"/>
          <w:numId w:val="5"/>
        </w:numPr>
        <w:pBdr>
          <w:top w:val="nil"/>
          <w:left w:val="nil"/>
          <w:bottom w:val="nil"/>
          <w:right w:val="nil"/>
          <w:between w:val="nil"/>
        </w:pBdr>
        <w:shd w:val="clear" w:color="auto" w:fill="FDE9D9"/>
        <w:contextualSpacing/>
      </w:pPr>
      <w:r>
        <w:rPr>
          <w:color w:val="000000"/>
        </w:rPr>
        <w:t>Type in name of person signing and their position/affiliation.</w:t>
      </w:r>
    </w:p>
    <w:p w:rsidR="00F37C93" w:rsidRDefault="003C7058">
      <w:pPr>
        <w:numPr>
          <w:ilvl w:val="0"/>
          <w:numId w:val="5"/>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0">
        <w:r>
          <w:rPr>
            <w:color w:val="0000FF"/>
            <w:u w:val="single"/>
          </w:rPr>
          <w:t>curriculum@ric.edu</w:t>
        </w:r>
      </w:hyperlink>
      <w:r>
        <w:rPr>
          <w:color w:val="000000"/>
        </w:rPr>
        <w:t xml:space="preserve"> and a printed or electronic signature copy of this form to the current Chair of UCC. Check UCC website for due dates.</w:t>
      </w:r>
    </w:p>
    <w:p w:rsidR="00F37C93" w:rsidRDefault="00F37C93">
      <w:pPr>
        <w:pStyle w:val="Heading5"/>
      </w:pPr>
    </w:p>
    <w:p w:rsidR="00F37C93" w:rsidRDefault="003C7058">
      <w:pPr>
        <w:pStyle w:val="Heading5"/>
      </w:pPr>
      <w:r>
        <w:t xml:space="preserve">D.1. Approvals:   required from programs/departments/deans who originated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F37C93">
        <w:tc>
          <w:tcPr>
            <w:tcW w:w="3279" w:type="dxa"/>
            <w:vAlign w:val="center"/>
          </w:tcPr>
          <w:p w:rsidR="00F37C93" w:rsidRDefault="003C7058">
            <w:pPr>
              <w:pStyle w:val="Heading5"/>
              <w:jc w:val="center"/>
            </w:pPr>
            <w:r>
              <w:t>Name</w:t>
            </w:r>
          </w:p>
        </w:tc>
        <w:tc>
          <w:tcPr>
            <w:tcW w:w="3279" w:type="dxa"/>
            <w:vAlign w:val="center"/>
          </w:tcPr>
          <w:p w:rsidR="00F37C93" w:rsidRDefault="003C7058">
            <w:pPr>
              <w:pStyle w:val="Heading5"/>
              <w:jc w:val="center"/>
            </w:pPr>
            <w:r>
              <w:t>Position/affiliation</w:t>
            </w:r>
          </w:p>
        </w:tc>
        <w:tc>
          <w:tcPr>
            <w:tcW w:w="3280" w:type="dxa"/>
            <w:vAlign w:val="center"/>
          </w:tcPr>
          <w:p w:rsidR="00F37C93" w:rsidRDefault="00CA4A41">
            <w:pPr>
              <w:pStyle w:val="Heading5"/>
              <w:jc w:val="center"/>
            </w:pPr>
            <w:hyperlink w:anchor="_2lwamvv">
              <w:r w:rsidR="003C7058">
                <w:rPr>
                  <w:color w:val="0000FF"/>
                  <w:u w:val="single"/>
                </w:rPr>
                <w:t>Signature</w:t>
              </w:r>
            </w:hyperlink>
          </w:p>
        </w:tc>
        <w:tc>
          <w:tcPr>
            <w:tcW w:w="1178" w:type="dxa"/>
            <w:vAlign w:val="center"/>
          </w:tcPr>
          <w:p w:rsidR="00F37C93" w:rsidRDefault="003C7058">
            <w:pPr>
              <w:pStyle w:val="Heading5"/>
              <w:jc w:val="center"/>
            </w:pPr>
            <w:r>
              <w:t>Date</w:t>
            </w:r>
          </w:p>
        </w:tc>
      </w:tr>
      <w:tr w:rsidR="00F37C93">
        <w:trPr>
          <w:trHeight w:val="480"/>
        </w:trPr>
        <w:tc>
          <w:tcPr>
            <w:tcW w:w="3279" w:type="dxa"/>
            <w:vAlign w:val="center"/>
          </w:tcPr>
          <w:p w:rsidR="00F37C93" w:rsidRDefault="003C7058">
            <w:pPr>
              <w:spacing w:line="240" w:lineRule="auto"/>
            </w:pPr>
            <w:r>
              <w:t>Dr. Carol Cummings</w:t>
            </w:r>
          </w:p>
        </w:tc>
        <w:tc>
          <w:tcPr>
            <w:tcW w:w="3279" w:type="dxa"/>
            <w:vAlign w:val="center"/>
          </w:tcPr>
          <w:p w:rsidR="00F37C93" w:rsidRDefault="003C7058">
            <w:pPr>
              <w:spacing w:line="240" w:lineRule="auto"/>
            </w:pPr>
            <w:r>
              <w:t>Program Director of CHW</w:t>
            </w:r>
          </w:p>
        </w:tc>
        <w:tc>
          <w:tcPr>
            <w:tcW w:w="3280" w:type="dxa"/>
            <w:vAlign w:val="center"/>
          </w:tcPr>
          <w:p w:rsidR="00F37C93" w:rsidRDefault="00F37C93">
            <w:pPr>
              <w:spacing w:line="240" w:lineRule="auto"/>
            </w:pPr>
          </w:p>
        </w:tc>
        <w:tc>
          <w:tcPr>
            <w:tcW w:w="1178" w:type="dxa"/>
            <w:vAlign w:val="center"/>
          </w:tcPr>
          <w:p w:rsidR="00F37C93" w:rsidRDefault="00F37C93">
            <w:pPr>
              <w:spacing w:line="240" w:lineRule="auto"/>
            </w:pPr>
          </w:p>
        </w:tc>
      </w:tr>
      <w:tr w:rsidR="00F37C93">
        <w:trPr>
          <w:trHeight w:val="480"/>
        </w:trPr>
        <w:tc>
          <w:tcPr>
            <w:tcW w:w="3279" w:type="dxa"/>
            <w:vAlign w:val="center"/>
          </w:tcPr>
          <w:p w:rsidR="00F37C93" w:rsidRPr="007542AF" w:rsidRDefault="003C7058">
            <w:pPr>
              <w:spacing w:line="240" w:lineRule="auto"/>
            </w:pPr>
            <w:r w:rsidRPr="007542AF">
              <w:t>Dr. Robin Kirkwood Auld</w:t>
            </w:r>
          </w:p>
        </w:tc>
        <w:tc>
          <w:tcPr>
            <w:tcW w:w="3279" w:type="dxa"/>
            <w:vAlign w:val="center"/>
          </w:tcPr>
          <w:p w:rsidR="00F37C93" w:rsidRPr="007542AF" w:rsidRDefault="003C7058">
            <w:pPr>
              <w:spacing w:line="240" w:lineRule="auto"/>
            </w:pPr>
            <w:r w:rsidRPr="007542AF">
              <w:t>Chair of HPE</w:t>
            </w:r>
          </w:p>
        </w:tc>
        <w:tc>
          <w:tcPr>
            <w:tcW w:w="3280" w:type="dxa"/>
            <w:vAlign w:val="center"/>
          </w:tcPr>
          <w:p w:rsidR="00F37C93" w:rsidRDefault="00F37C93">
            <w:pPr>
              <w:spacing w:line="240" w:lineRule="auto"/>
            </w:pPr>
          </w:p>
        </w:tc>
        <w:tc>
          <w:tcPr>
            <w:tcW w:w="1178" w:type="dxa"/>
            <w:vAlign w:val="center"/>
          </w:tcPr>
          <w:p w:rsidR="00F37C93" w:rsidRDefault="00F37C93">
            <w:pPr>
              <w:spacing w:line="240" w:lineRule="auto"/>
            </w:pPr>
          </w:p>
        </w:tc>
      </w:tr>
      <w:tr w:rsidR="00F37C93">
        <w:trPr>
          <w:trHeight w:val="480"/>
        </w:trPr>
        <w:tc>
          <w:tcPr>
            <w:tcW w:w="3279" w:type="dxa"/>
            <w:vAlign w:val="center"/>
          </w:tcPr>
          <w:p w:rsidR="00F37C93" w:rsidRPr="007542AF" w:rsidRDefault="003C7058">
            <w:pPr>
              <w:spacing w:line="240" w:lineRule="auto"/>
            </w:pPr>
            <w:r w:rsidRPr="007542AF">
              <w:t>Dr. Gerri August &amp;/or Dr. Julie Horwitz</w:t>
            </w:r>
          </w:p>
        </w:tc>
        <w:tc>
          <w:tcPr>
            <w:tcW w:w="3279" w:type="dxa"/>
            <w:vAlign w:val="center"/>
          </w:tcPr>
          <w:p w:rsidR="00F37C93" w:rsidRPr="007542AF" w:rsidRDefault="003C7058">
            <w:pPr>
              <w:spacing w:line="240" w:lineRule="auto"/>
            </w:pPr>
            <w:r w:rsidRPr="007542AF">
              <w:t>Co-Deans of FSEHD</w:t>
            </w:r>
          </w:p>
        </w:tc>
        <w:tc>
          <w:tcPr>
            <w:tcW w:w="3280" w:type="dxa"/>
            <w:vAlign w:val="center"/>
          </w:tcPr>
          <w:p w:rsidR="00F37C93" w:rsidRDefault="00F37C93">
            <w:pPr>
              <w:spacing w:line="240" w:lineRule="auto"/>
            </w:pPr>
          </w:p>
        </w:tc>
        <w:tc>
          <w:tcPr>
            <w:tcW w:w="1178" w:type="dxa"/>
            <w:vAlign w:val="center"/>
          </w:tcPr>
          <w:p w:rsidR="00F37C93" w:rsidRDefault="00F37C93">
            <w:pPr>
              <w:spacing w:line="240" w:lineRule="auto"/>
            </w:pPr>
          </w:p>
        </w:tc>
      </w:tr>
    </w:tbl>
    <w:p w:rsidR="00F37C93" w:rsidRDefault="00F37C93">
      <w:pPr>
        <w:pStyle w:val="Heading5"/>
      </w:pPr>
    </w:p>
    <w:sectPr w:rsidR="00F37C9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A41" w:rsidRDefault="00CA4A41">
      <w:pPr>
        <w:spacing w:line="240" w:lineRule="auto"/>
      </w:pPr>
      <w:r>
        <w:separator/>
      </w:r>
    </w:p>
  </w:endnote>
  <w:endnote w:type="continuationSeparator" w:id="0">
    <w:p w:rsidR="00CA4A41" w:rsidRDefault="00CA4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C93" w:rsidRDefault="00F37C9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C93" w:rsidRDefault="003C7058">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F75EF1">
      <w:rPr>
        <w:b/>
        <w:noProof/>
        <w:color w:val="000000"/>
        <w:sz w:val="20"/>
        <w:szCs w:val="20"/>
      </w:rPr>
      <w:t>8</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F75EF1">
      <w:rPr>
        <w:b/>
        <w:noProof/>
        <w:color w:val="000000"/>
        <w:sz w:val="20"/>
        <w:szCs w:val="20"/>
      </w:rPr>
      <w:t>8</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C93" w:rsidRDefault="00F37C9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A41" w:rsidRDefault="00CA4A41">
      <w:pPr>
        <w:spacing w:line="240" w:lineRule="auto"/>
      </w:pPr>
      <w:r>
        <w:separator/>
      </w:r>
    </w:p>
  </w:footnote>
  <w:footnote w:type="continuationSeparator" w:id="0">
    <w:p w:rsidR="00CA4A41" w:rsidRDefault="00CA4A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C93" w:rsidRDefault="00F37C9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C93" w:rsidRDefault="003C7058">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7542AF">
      <w:rPr>
        <w:color w:val="4F6228"/>
      </w:rPr>
      <w:t>18-19-047</w:t>
    </w:r>
    <w:r w:rsidR="007542AF">
      <w:rPr>
        <w:color w:val="4F6228"/>
      </w:rPr>
      <w:tab/>
    </w:r>
    <w:r w:rsidR="007542AF">
      <w:rPr>
        <w:color w:val="4F6228"/>
      </w:rPr>
      <w:tab/>
    </w:r>
    <w:r>
      <w:rPr>
        <w:color w:val="4F6228"/>
      </w:rPr>
      <w:t>Date Received:</w:t>
    </w:r>
    <w:r w:rsidR="007542AF">
      <w:rPr>
        <w:color w:val="4F6228"/>
      </w:rPr>
      <w:t>10/26/2018</w:t>
    </w:r>
    <w:r>
      <w:rPr>
        <w:color w:val="4F6228"/>
      </w:rPr>
      <w:tab/>
    </w:r>
  </w:p>
  <w:p w:rsidR="00F37C93" w:rsidRDefault="00F37C9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C93" w:rsidRDefault="00F37C9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A2C"/>
    <w:multiLevelType w:val="multilevel"/>
    <w:tmpl w:val="1AC07D4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3951053"/>
    <w:multiLevelType w:val="multilevel"/>
    <w:tmpl w:val="0ABE6896"/>
    <w:lvl w:ilvl="0">
      <w:start w:val="5"/>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C1D7374"/>
    <w:multiLevelType w:val="multilevel"/>
    <w:tmpl w:val="DD50D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F95ACE"/>
    <w:multiLevelType w:val="multilevel"/>
    <w:tmpl w:val="BBC29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A23B5"/>
    <w:multiLevelType w:val="multilevel"/>
    <w:tmpl w:val="2E480768"/>
    <w:lvl w:ilvl="0">
      <w:start w:val="2"/>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6185D2A"/>
    <w:multiLevelType w:val="multilevel"/>
    <w:tmpl w:val="E1AC3C9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E4B5C76"/>
    <w:multiLevelType w:val="multilevel"/>
    <w:tmpl w:val="E4CCFC8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EB82FDF"/>
    <w:multiLevelType w:val="multilevel"/>
    <w:tmpl w:val="7A7ED5C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F134612"/>
    <w:multiLevelType w:val="multilevel"/>
    <w:tmpl w:val="E25CA76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FC171FB"/>
    <w:multiLevelType w:val="multilevel"/>
    <w:tmpl w:val="0778D7F8"/>
    <w:lvl w:ilvl="0">
      <w:start w:val="4"/>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7231FF6"/>
    <w:multiLevelType w:val="multilevel"/>
    <w:tmpl w:val="C52E097C"/>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A004C9"/>
    <w:multiLevelType w:val="multilevel"/>
    <w:tmpl w:val="814CDAD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F3E2006"/>
    <w:multiLevelType w:val="multilevel"/>
    <w:tmpl w:val="6E262EB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2C85B93"/>
    <w:multiLevelType w:val="multilevel"/>
    <w:tmpl w:val="D3E240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9787679"/>
    <w:multiLevelType w:val="multilevel"/>
    <w:tmpl w:val="81C4BC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BCB1F55"/>
    <w:multiLevelType w:val="multilevel"/>
    <w:tmpl w:val="498E22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4ACE7BF9"/>
    <w:multiLevelType w:val="multilevel"/>
    <w:tmpl w:val="B25A93D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05C2065"/>
    <w:multiLevelType w:val="multilevel"/>
    <w:tmpl w:val="F41212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5EC7D62"/>
    <w:multiLevelType w:val="multilevel"/>
    <w:tmpl w:val="C12EBBD0"/>
    <w:lvl w:ilvl="0">
      <w:start w:val="1"/>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20F3089"/>
    <w:multiLevelType w:val="multilevel"/>
    <w:tmpl w:val="82D47D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62EB1D6A"/>
    <w:multiLevelType w:val="multilevel"/>
    <w:tmpl w:val="3A08919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94661AA"/>
    <w:multiLevelType w:val="multilevel"/>
    <w:tmpl w:val="018A8C7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D8D15F2"/>
    <w:multiLevelType w:val="multilevel"/>
    <w:tmpl w:val="2B40AA8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1DD06B6"/>
    <w:multiLevelType w:val="multilevel"/>
    <w:tmpl w:val="5FB8B4A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4F1250D"/>
    <w:multiLevelType w:val="multilevel"/>
    <w:tmpl w:val="5AEA574A"/>
    <w:lvl w:ilvl="0">
      <w:start w:val="3"/>
      <w:numFmt w:val="decimal"/>
      <w:lvlText w:val="%1."/>
      <w:lvlJc w:val="left"/>
      <w:pPr>
        <w:ind w:left="720" w:hanging="360"/>
      </w:pPr>
      <w:rPr>
        <w:rFonts w:ascii="Cambria" w:eastAsia="Cambria" w:hAnsi="Cambria" w:cs="Cambria"/>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7"/>
  </w:num>
  <w:num w:numId="3">
    <w:abstractNumId w:val="6"/>
  </w:num>
  <w:num w:numId="4">
    <w:abstractNumId w:val="11"/>
  </w:num>
  <w:num w:numId="5">
    <w:abstractNumId w:val="2"/>
  </w:num>
  <w:num w:numId="6">
    <w:abstractNumId w:val="5"/>
  </w:num>
  <w:num w:numId="7">
    <w:abstractNumId w:val="23"/>
  </w:num>
  <w:num w:numId="8">
    <w:abstractNumId w:val="14"/>
  </w:num>
  <w:num w:numId="9">
    <w:abstractNumId w:val="16"/>
  </w:num>
  <w:num w:numId="10">
    <w:abstractNumId w:val="24"/>
  </w:num>
  <w:num w:numId="11">
    <w:abstractNumId w:val="0"/>
  </w:num>
  <w:num w:numId="12">
    <w:abstractNumId w:val="4"/>
  </w:num>
  <w:num w:numId="13">
    <w:abstractNumId w:val="12"/>
  </w:num>
  <w:num w:numId="14">
    <w:abstractNumId w:val="15"/>
  </w:num>
  <w:num w:numId="15">
    <w:abstractNumId w:val="19"/>
  </w:num>
  <w:num w:numId="16">
    <w:abstractNumId w:val="22"/>
  </w:num>
  <w:num w:numId="17">
    <w:abstractNumId w:val="13"/>
  </w:num>
  <w:num w:numId="18">
    <w:abstractNumId w:val="18"/>
  </w:num>
  <w:num w:numId="19">
    <w:abstractNumId w:val="17"/>
  </w:num>
  <w:num w:numId="20">
    <w:abstractNumId w:val="21"/>
  </w:num>
  <w:num w:numId="21">
    <w:abstractNumId w:val="10"/>
  </w:num>
  <w:num w:numId="22">
    <w:abstractNumId w:val="8"/>
  </w:num>
  <w:num w:numId="23">
    <w:abstractNumId w:val="20"/>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93"/>
    <w:rsid w:val="001506EF"/>
    <w:rsid w:val="003C7058"/>
    <w:rsid w:val="0073065F"/>
    <w:rsid w:val="007542AF"/>
    <w:rsid w:val="009A2ADE"/>
    <w:rsid w:val="00BA7D70"/>
    <w:rsid w:val="00C933FD"/>
    <w:rsid w:val="00CA4A41"/>
    <w:rsid w:val="00EA31E2"/>
    <w:rsid w:val="00F37C93"/>
    <w:rsid w:val="00F75142"/>
    <w:rsid w:val="00F7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180D"/>
  <w15:docId w15:val="{235F61B1-FA67-4218-9CE1-22ACE060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None">
    <w:name w:val="None"/>
    <w:rsid w:val="007542AF"/>
  </w:style>
  <w:style w:type="character" w:customStyle="1" w:styleId="Hyperlink4">
    <w:name w:val="Hyperlink.4"/>
    <w:basedOn w:val="None"/>
    <w:rsid w:val="007542AF"/>
    <w:rPr>
      <w:rFonts w:ascii="Cambria" w:eastAsia="Cambria" w:hAnsi="Cambria" w:cs="Cambria"/>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peakcdn.com/assets/2251/hespa_competencies_and_sub-competenc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urriculum@ric.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ccas.net/files/public/Publications/Curriculum_Guide_Version3.pdf"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67Z3ZXSPZZWZ-949-713</_dlc_DocId>
    <_dlc_DocIdUrl xmlns="67887a43-7e4d-4c1c-91d7-15e417b1b8ab">
      <Url>https://w3.ric.edu/curriculum_committee/_layouts/15/DocIdRedir.aspx?ID=67Z3ZXSPZZWZ-949-713</Url>
      <Description>67Z3ZXSPZZWZ-949-713</Description>
    </_dlc_DocIdUrl>
  </documentManagement>
</p:properties>
</file>

<file path=customXml/itemProps1.xml><?xml version="1.0" encoding="utf-8"?>
<ds:datastoreItem xmlns:ds="http://schemas.openxmlformats.org/officeDocument/2006/customXml" ds:itemID="{AA2AA200-0C2B-4F40-8493-FF358F51E114}"/>
</file>

<file path=customXml/itemProps2.xml><?xml version="1.0" encoding="utf-8"?>
<ds:datastoreItem xmlns:ds="http://schemas.openxmlformats.org/officeDocument/2006/customXml" ds:itemID="{A962618C-6C1D-4D14-BE2E-34506A6D0988}"/>
</file>

<file path=customXml/itemProps3.xml><?xml version="1.0" encoding="utf-8"?>
<ds:datastoreItem xmlns:ds="http://schemas.openxmlformats.org/officeDocument/2006/customXml" ds:itemID="{A4E3CFEC-38F6-4480-8C49-1094B1D50B06}"/>
</file>

<file path=customXml/itemProps4.xml><?xml version="1.0" encoding="utf-8"?>
<ds:datastoreItem xmlns:ds="http://schemas.openxmlformats.org/officeDocument/2006/customXml" ds:itemID="{94F6D125-5CEE-4A66-9BC0-429CEDB94125}"/>
</file>

<file path=docProps/app.xml><?xml version="1.0" encoding="utf-8"?>
<Properties xmlns="http://schemas.openxmlformats.org/officeDocument/2006/extended-properties" xmlns:vt="http://schemas.openxmlformats.org/officeDocument/2006/docPropsVTypes">
  <Template>Normal.dotm</Template>
  <TotalTime>2</TotalTime>
  <Pages>5</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3</cp:revision>
  <dcterms:created xsi:type="dcterms:W3CDTF">2019-02-20T21:19:00Z</dcterms:created>
  <dcterms:modified xsi:type="dcterms:W3CDTF">2019-02-22T22:24:00Z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2c72c19b-0d8d-4194-9c5d-485222fabf86</vt:lpwstr>
  </property>
  <property fmtid="{D5CDD505-2E9C-101B-9397-08002B2CF9AE}" pid="3" name="ContentTypeId">
    <vt:lpwstr>0x0101009736D43DC7C38546B966A7508121890B</vt:lpwstr>
  </property>
</Properties>
</file>