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lang w:eastAsia="zh-CN"/>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4FF5484" w:rsidR="00F64260" w:rsidRPr="00A83A6C" w:rsidRDefault="00512888" w:rsidP="00B862BF">
            <w:pPr>
              <w:pStyle w:val="Heading5"/>
              <w:rPr>
                <w:b/>
              </w:rPr>
            </w:pPr>
            <w:bookmarkStart w:id="0" w:name="Proposal"/>
            <w:bookmarkEnd w:id="0"/>
            <w:r>
              <w:rPr>
                <w:b/>
              </w:rPr>
              <w:t>SPED 451:</w:t>
            </w:r>
            <w:r>
              <w:t xml:space="preserve"> </w:t>
            </w:r>
            <w:r w:rsidRPr="004071D6">
              <w:rPr>
                <w:b/>
              </w:rPr>
              <w:t>Teaching Culturally/Lingu</w:t>
            </w:r>
            <w:r>
              <w:rPr>
                <w:b/>
              </w:rPr>
              <w:t xml:space="preserve">istically Diverse Students with </w:t>
            </w:r>
            <w:r w:rsidRPr="004071D6">
              <w:rPr>
                <w:b/>
              </w:rPr>
              <w:t>Exceptionality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4663A8"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ED77A8">
        <w:trPr>
          <w:cantSplit/>
          <w:trHeight w:val="592"/>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2E19FAC3" w:rsidR="00F64260" w:rsidRPr="005F2A05" w:rsidRDefault="00246950" w:rsidP="000A36CD">
            <w:pPr>
              <w:rPr>
                <w:b/>
              </w:rPr>
            </w:pPr>
            <w:bookmarkStart w:id="4" w:name="type"/>
            <w:r w:rsidRPr="00246950">
              <w:rPr>
                <w:b/>
              </w:rPr>
              <w:t xml:space="preserve">Course: </w:t>
            </w:r>
            <w:r w:rsidR="00F64260" w:rsidRPr="00246950">
              <w:rPr>
                <w:b/>
              </w:rPr>
              <w:t>creation</w:t>
            </w:r>
            <w:bookmarkEnd w:id="4"/>
            <w:r w:rsidR="00F64260" w:rsidRPr="005F2A05">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rsidTr="00C67350">
        <w:trPr>
          <w:cantSplit/>
          <w:trHeight w:val="313"/>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3E18CC41" w:rsidR="00F64260" w:rsidRPr="00B605CE" w:rsidRDefault="00C67350" w:rsidP="00B862BF">
            <w:pPr>
              <w:rPr>
                <w:b/>
              </w:rPr>
            </w:pPr>
            <w:bookmarkStart w:id="5" w:name="Originator"/>
            <w:bookmarkEnd w:id="5"/>
            <w:r>
              <w:rPr>
                <w:b/>
              </w:rPr>
              <w:t xml:space="preserve">Ying Hui-Michael </w:t>
            </w:r>
          </w:p>
        </w:tc>
        <w:tc>
          <w:tcPr>
            <w:tcW w:w="1210" w:type="pct"/>
          </w:tcPr>
          <w:p w14:paraId="788D9512" w14:textId="19B60691" w:rsidR="00F64260" w:rsidRPr="00946B20" w:rsidRDefault="004663A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860A2D1" w:rsidR="00F64260" w:rsidRPr="00B605CE" w:rsidRDefault="00C67350" w:rsidP="00B862BF">
            <w:pPr>
              <w:rPr>
                <w:b/>
              </w:rPr>
            </w:pPr>
            <w:bookmarkStart w:id="6" w:name="home_dept"/>
            <w:bookmarkEnd w:id="6"/>
            <w:r>
              <w:rPr>
                <w:b/>
              </w:rPr>
              <w:t xml:space="preserve">Special Education </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667333B0" w14:textId="77777777" w:rsidR="008E5DF8" w:rsidRDefault="008E5DF8" w:rsidP="008E5DF8">
            <w:bookmarkStart w:id="7" w:name="Rationale"/>
            <w:bookmarkEnd w:id="7"/>
            <w:r w:rsidRPr="006177B7">
              <w:t>The</w:t>
            </w:r>
            <w:r>
              <w:t xml:space="preserve"> purpose of this proposal is to create a new course SPED 451 </w:t>
            </w:r>
            <w:r w:rsidRPr="00CC4593">
              <w:t>Teaching Culturally/Linguistically Diverse Students with</w:t>
            </w:r>
            <w:r>
              <w:t xml:space="preserve"> </w:t>
            </w:r>
            <w:r w:rsidRPr="00CC4593">
              <w:t>Exceptionality</w:t>
            </w:r>
            <w:r>
              <w:t xml:space="preserve">. </w:t>
            </w:r>
          </w:p>
          <w:p w14:paraId="58C31861" w14:textId="1F6B583A" w:rsidR="008E5DF8" w:rsidRDefault="00246950" w:rsidP="008E5DF8">
            <w:r>
              <w:t xml:space="preserve">     </w:t>
            </w:r>
            <w:r w:rsidR="008E5DF8" w:rsidRPr="006177B7">
              <w:t xml:space="preserve">The FSEHD is redesigning initial certification programs. All initial cert. programs </w:t>
            </w:r>
            <w:r w:rsidR="008E5DF8">
              <w:t xml:space="preserve">need to </w:t>
            </w:r>
            <w:r w:rsidR="008E5DF8" w:rsidRPr="006177B7">
              <w:t>prepare teacher candidates to develop “a culturally responsive practice and skills to advocate for all stakeholders by completing both a Special Education and English as Second Language course and earning an endorsement by completing a second course in one of the two areas”</w:t>
            </w:r>
            <w:r w:rsidR="008E5DF8">
              <w:t xml:space="preserve"> (FSEHD Program Design Criteria)</w:t>
            </w:r>
            <w:r w:rsidR="008E5DF8" w:rsidRPr="006177B7">
              <w:t xml:space="preserve">. The Elementary/Special Education B.S programs </w:t>
            </w:r>
            <w:r w:rsidR="008E5DF8">
              <w:t>(Mild/Moderate Disabilities and Severe Intellectual Disabilities) will be adding two teaching English as a Second Language (ESL) courses to prepare special education teacher candidates to work with English language learners.</w:t>
            </w:r>
          </w:p>
          <w:p w14:paraId="41EFFC68" w14:textId="1498FFDB" w:rsidR="00F64260" w:rsidRPr="00246950" w:rsidRDefault="00246950" w:rsidP="002F08DB">
            <w:r>
              <w:t xml:space="preserve">     </w:t>
            </w:r>
            <w:r w:rsidR="008E5DF8">
              <w:t xml:space="preserve">SPED 451 will be the first ESL endorsement course required by the SPED B.S. programs. The course will address </w:t>
            </w:r>
            <w:r w:rsidR="008E5DF8">
              <w:rPr>
                <w:color w:val="000000" w:themeColor="text1"/>
              </w:rPr>
              <w:t>t</w:t>
            </w:r>
            <w:r w:rsidR="008E5DF8" w:rsidRPr="00AD0716">
              <w:rPr>
                <w:color w:val="000000" w:themeColor="text1"/>
              </w:rPr>
              <w:t>heoretical, conceptual and pedagogical elements in culturally and linguistically responsive teaching and learning for culturally and linguistically diverse students with exceptional needs</w:t>
            </w:r>
            <w:r w:rsidR="008E5DF8">
              <w:rPr>
                <w:color w:val="000000" w:themeColor="text1"/>
              </w:rPr>
              <w:t xml:space="preserve">. </w:t>
            </w: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4ADF4D61" w:rsidR="00517DB2" w:rsidRPr="00B649C4" w:rsidRDefault="008A09C0" w:rsidP="00EB03F0">
            <w:pPr>
              <w:rPr>
                <w:b/>
              </w:rPr>
            </w:pPr>
            <w:bookmarkStart w:id="8" w:name="student_impact"/>
            <w:bookmarkEnd w:id="8"/>
            <w:r>
              <w:t xml:space="preserve">Positive Impact: </w:t>
            </w:r>
            <w:r w:rsidR="00063F26">
              <w:t xml:space="preserve">This is the first time SPED B.S programs require courses in teaching English language learners. </w:t>
            </w:r>
            <w:r w:rsidR="00512888" w:rsidRPr="00367173">
              <w:t>The course serves as</w:t>
            </w:r>
            <w:r w:rsidR="00512888">
              <w:t xml:space="preserve"> a</w:t>
            </w:r>
            <w:r w:rsidR="00512888" w:rsidRPr="00367173">
              <w:t xml:space="preserve"> foundational </w:t>
            </w:r>
            <w:r w:rsidR="00ED77A8">
              <w:t xml:space="preserve">course to prepare </w:t>
            </w:r>
            <w:r w:rsidR="00512888" w:rsidRPr="00367173">
              <w:t>students</w:t>
            </w:r>
            <w:r w:rsidR="00512888">
              <w:t xml:space="preserve"> to work with English learners.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32C777A" w:rsidR="00517DB2" w:rsidRPr="00B649C4" w:rsidRDefault="00512888" w:rsidP="00517DB2">
            <w:pPr>
              <w:rPr>
                <w:b/>
              </w:rPr>
            </w:pPr>
            <w:bookmarkStart w:id="9" w:name="prog_impact"/>
            <w:bookmarkEnd w:id="9"/>
            <w:r>
              <w:t xml:space="preserve">Required ESL endorsement course by the </w:t>
            </w:r>
            <w:r w:rsidR="007252CB" w:rsidRPr="006177B7">
              <w:t xml:space="preserve">Elementary/Special Education B.S programs </w:t>
            </w:r>
            <w:r w:rsidR="007252CB">
              <w:t xml:space="preserve">(Mild/Moderate Disabilities and Severe Intellectual </w:t>
            </w:r>
            <w:r>
              <w:t>Disabilities)</w:t>
            </w:r>
            <w:r w:rsidR="006E275C">
              <w:t xml:space="preserve">. The Urban/Multicultural Special Education M.Ed. program will also accept SPED </w:t>
            </w:r>
            <w:r w:rsidR="00D04944">
              <w:t>451 as an equivalent course to</w:t>
            </w:r>
            <w:r w:rsidR="006E275C">
              <w:t xml:space="preserve"> SPED 551: Introduction to Multicultural Special Education. </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4663A8"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9D1CD48" w:rsidR="008D52B7" w:rsidRPr="00C25F9D" w:rsidRDefault="00512888" w:rsidP="008D52B7">
            <w:pPr>
              <w:rPr>
                <w:b/>
              </w:rPr>
            </w:pPr>
            <w:r>
              <w:t xml:space="preserve">There might </w:t>
            </w:r>
            <w:r w:rsidRPr="00870690">
              <w:t xml:space="preserve">be a need to hire </w:t>
            </w:r>
            <w:r>
              <w:t xml:space="preserve">additional </w:t>
            </w:r>
            <w:r w:rsidRPr="00870690">
              <w:t>faculty to help wit</w:t>
            </w:r>
            <w:r>
              <w:t>h the sections.</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4663A8"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7EE69F2C" w:rsidR="008D52B7" w:rsidRPr="00C25F9D" w:rsidRDefault="00B7207F" w:rsidP="008D52B7">
            <w:pPr>
              <w:rPr>
                <w:b/>
              </w:rPr>
            </w:pPr>
            <w:r w:rsidRPr="00870690">
              <w:t xml:space="preserve">This course is similar to other courses.  Thus, </w:t>
            </w:r>
            <w:r>
              <w:t xml:space="preserve">no additional library </w:t>
            </w:r>
            <w:r w:rsidRPr="00870690">
              <w:t>resources are anticipated.</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4663A8"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6AB39EEC" w:rsidR="008D52B7" w:rsidRPr="00C25F9D" w:rsidRDefault="00B7207F" w:rsidP="008D52B7">
            <w:pPr>
              <w:rPr>
                <w:b/>
              </w:rPr>
            </w:pPr>
            <w:r w:rsidRPr="00870690">
              <w:t xml:space="preserve">This course is similar to other courses.  Thus, </w:t>
            </w:r>
            <w:r>
              <w:t xml:space="preserve">no additional technology </w:t>
            </w:r>
            <w:r w:rsidRPr="00870690">
              <w:t>resources are anticipated.</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4663A8"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76D80BB1" w:rsidR="008D52B7" w:rsidRPr="00C25F9D" w:rsidRDefault="00252C56"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13C7C07" w:rsidR="00F64260" w:rsidRPr="00B605CE" w:rsidRDefault="00252C56" w:rsidP="00B862BF">
            <w:pPr>
              <w:rPr>
                <w:b/>
              </w:rPr>
            </w:pPr>
            <w:bookmarkStart w:id="10" w:name="date_submitted"/>
            <w:bookmarkEnd w:id="10"/>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bl>
    <w:p w14:paraId="35D53698" w14:textId="1C7C812B" w:rsidR="00F64260" w:rsidRPr="00C344AB" w:rsidRDefault="007A5702" w:rsidP="00C344AB">
      <w:pPr>
        <w:rPr>
          <w:b/>
          <w:sz w:val="20"/>
          <w:szCs w:val="20"/>
        </w:rPr>
      </w:pPr>
      <w: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4921"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7510"/>
      </w:tblGrid>
      <w:tr w:rsidR="002F08DB" w:rsidRPr="006E3AF2" w14:paraId="6EE19C38" w14:textId="77777777" w:rsidTr="002F08DB">
        <w:trPr>
          <w:tblHeader/>
        </w:trPr>
        <w:tc>
          <w:tcPr>
            <w:tcW w:w="3100" w:type="dxa"/>
            <w:shd w:val="clear" w:color="auto" w:fill="FABF8F"/>
            <w:noWrap/>
            <w:vAlign w:val="center"/>
          </w:tcPr>
          <w:p w14:paraId="4F9C323F" w14:textId="77777777" w:rsidR="002F08DB" w:rsidRPr="00A83A6C" w:rsidRDefault="002F08DB" w:rsidP="008847FE">
            <w:pPr>
              <w:pStyle w:val="Heading5"/>
              <w:keepNext/>
              <w:spacing w:before="0" w:after="0" w:line="240" w:lineRule="auto"/>
            </w:pPr>
          </w:p>
        </w:tc>
        <w:tc>
          <w:tcPr>
            <w:tcW w:w="7510" w:type="dxa"/>
            <w:noWrap/>
          </w:tcPr>
          <w:p w14:paraId="5F0965AE" w14:textId="77777777" w:rsidR="002F08DB" w:rsidRDefault="002F08DB" w:rsidP="008847FE">
            <w:pPr>
              <w:pStyle w:val="Heading5"/>
              <w:keepNext/>
              <w:spacing w:before="0" w:after="0" w:line="240" w:lineRule="auto"/>
              <w:jc w:val="center"/>
            </w:pPr>
            <w:r w:rsidRPr="00A83A6C">
              <w:t>New</w:t>
            </w:r>
          </w:p>
          <w:p w14:paraId="60386759" w14:textId="24AD3776" w:rsidR="002F08DB" w:rsidRPr="006B20A9" w:rsidRDefault="002F08DB" w:rsidP="006B20A9">
            <w:r>
              <w:t>Examples are provided for guidance, delete the ones that do not apply</w:t>
            </w:r>
          </w:p>
        </w:tc>
      </w:tr>
      <w:tr w:rsidR="002F08DB" w:rsidRPr="006E3AF2" w14:paraId="643E78C9" w14:textId="77777777" w:rsidTr="002F08DB">
        <w:tc>
          <w:tcPr>
            <w:tcW w:w="3100" w:type="dxa"/>
            <w:noWrap/>
            <w:vAlign w:val="center"/>
          </w:tcPr>
          <w:p w14:paraId="6032F6D8" w14:textId="77777777" w:rsidR="002F08DB" w:rsidRPr="006E3AF2" w:rsidRDefault="002F08DB"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7510" w:type="dxa"/>
            <w:noWrap/>
          </w:tcPr>
          <w:p w14:paraId="6540064C" w14:textId="2DFC2F71" w:rsidR="002F08DB" w:rsidRPr="009F029C" w:rsidRDefault="00512888" w:rsidP="001429AA">
            <w:pPr>
              <w:spacing w:line="240" w:lineRule="auto"/>
              <w:rPr>
                <w:b/>
              </w:rPr>
            </w:pPr>
            <w:bookmarkStart w:id="12" w:name="cours_title"/>
            <w:bookmarkEnd w:id="12"/>
            <w:r>
              <w:rPr>
                <w:b/>
              </w:rPr>
              <w:t>SPED 451</w:t>
            </w:r>
          </w:p>
        </w:tc>
      </w:tr>
      <w:tr w:rsidR="002F08DB" w:rsidRPr="006E3AF2" w14:paraId="203B0C45" w14:textId="77777777" w:rsidTr="002F08DB">
        <w:tc>
          <w:tcPr>
            <w:tcW w:w="3100" w:type="dxa"/>
            <w:noWrap/>
            <w:vAlign w:val="center"/>
          </w:tcPr>
          <w:p w14:paraId="4BAC956E" w14:textId="77777777" w:rsidR="002F08DB" w:rsidRPr="006E3AF2" w:rsidRDefault="002F08DB" w:rsidP="00013152">
            <w:pPr>
              <w:spacing w:line="240" w:lineRule="auto"/>
            </w:pPr>
            <w:r>
              <w:t>B.2. C</w:t>
            </w:r>
            <w:r w:rsidRPr="006E3AF2">
              <w:t>ross listing number</w:t>
            </w:r>
            <w:r>
              <w:t xml:space="preserve"> if any</w:t>
            </w:r>
          </w:p>
        </w:tc>
        <w:tc>
          <w:tcPr>
            <w:tcW w:w="7510" w:type="dxa"/>
            <w:noWrap/>
          </w:tcPr>
          <w:p w14:paraId="4E2FF0F0" w14:textId="77777777" w:rsidR="002F08DB" w:rsidRPr="009F029C" w:rsidRDefault="002F08DB" w:rsidP="001429AA">
            <w:pPr>
              <w:spacing w:line="240" w:lineRule="auto"/>
              <w:rPr>
                <w:b/>
              </w:rPr>
            </w:pPr>
          </w:p>
        </w:tc>
      </w:tr>
      <w:tr w:rsidR="002F08DB" w:rsidRPr="006E3AF2" w14:paraId="5C8827C3" w14:textId="77777777" w:rsidTr="002F08DB">
        <w:tc>
          <w:tcPr>
            <w:tcW w:w="3100" w:type="dxa"/>
            <w:noWrap/>
            <w:vAlign w:val="center"/>
          </w:tcPr>
          <w:p w14:paraId="145267D2" w14:textId="77777777" w:rsidR="002F08DB" w:rsidRPr="006E3AF2" w:rsidRDefault="002F08DB"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7510" w:type="dxa"/>
            <w:noWrap/>
          </w:tcPr>
          <w:p w14:paraId="2B9DB727" w14:textId="33E9E7D9" w:rsidR="002F08DB" w:rsidRPr="00B7207F" w:rsidRDefault="00512888" w:rsidP="00B7207F">
            <w:bookmarkStart w:id="13" w:name="title"/>
            <w:bookmarkEnd w:id="13"/>
            <w:r>
              <w:rPr>
                <w:b/>
              </w:rPr>
              <w:t>T</w:t>
            </w:r>
            <w:r w:rsidRPr="004071D6">
              <w:rPr>
                <w:b/>
              </w:rPr>
              <w:t>eaching Culturally/Lingu</w:t>
            </w:r>
            <w:r>
              <w:rPr>
                <w:b/>
              </w:rPr>
              <w:t xml:space="preserve">istically Diverse Students with </w:t>
            </w:r>
            <w:r w:rsidRPr="004071D6">
              <w:rPr>
                <w:b/>
              </w:rPr>
              <w:t>Exceptionality</w:t>
            </w:r>
          </w:p>
        </w:tc>
      </w:tr>
      <w:tr w:rsidR="002F08DB" w:rsidRPr="006E3AF2" w14:paraId="76E4D772" w14:textId="77777777" w:rsidTr="002F08DB">
        <w:tc>
          <w:tcPr>
            <w:tcW w:w="3100" w:type="dxa"/>
            <w:noWrap/>
            <w:vAlign w:val="center"/>
          </w:tcPr>
          <w:p w14:paraId="6E6A4073" w14:textId="77777777" w:rsidR="002F08DB" w:rsidRPr="006E3AF2" w:rsidRDefault="002F08DB"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7510" w:type="dxa"/>
            <w:noWrap/>
          </w:tcPr>
          <w:p w14:paraId="51C7BE85" w14:textId="4C7A3D50" w:rsidR="002F08DB" w:rsidRPr="00512888" w:rsidRDefault="00691726" w:rsidP="00512888">
            <w:bookmarkStart w:id="14" w:name="description"/>
            <w:bookmarkEnd w:id="14"/>
            <w:r>
              <w:t xml:space="preserve">Students </w:t>
            </w:r>
            <w:r w:rsidR="00A52E36">
              <w:t>explore</w:t>
            </w:r>
            <w:bookmarkStart w:id="15" w:name="_GoBack"/>
            <w:bookmarkEnd w:id="15"/>
            <w:r>
              <w:t xml:space="preserve"> t</w:t>
            </w:r>
            <w:r w:rsidR="00512888" w:rsidRPr="0038103C">
              <w:t xml:space="preserve">heoretical, conceptual and pedagogical elements in culturally and linguistically responsive teaching and learning for culturally and linguistically diverse students with exceptional needs. </w:t>
            </w:r>
          </w:p>
        </w:tc>
      </w:tr>
      <w:tr w:rsidR="002F08DB" w:rsidRPr="006E3AF2" w14:paraId="6B87DAE3" w14:textId="77777777" w:rsidTr="002F08DB">
        <w:tc>
          <w:tcPr>
            <w:tcW w:w="3100" w:type="dxa"/>
            <w:noWrap/>
            <w:vAlign w:val="center"/>
          </w:tcPr>
          <w:p w14:paraId="442A162B" w14:textId="2FB7287C" w:rsidR="002F08DB" w:rsidRPr="006E3AF2" w:rsidRDefault="002F08DB" w:rsidP="00013152">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7510" w:type="dxa"/>
            <w:noWrap/>
          </w:tcPr>
          <w:p w14:paraId="4DA91B44" w14:textId="355FB375" w:rsidR="002F08DB" w:rsidRPr="009F029C" w:rsidRDefault="00512888" w:rsidP="008C6EC3">
            <w:pPr>
              <w:spacing w:line="240" w:lineRule="auto"/>
              <w:rPr>
                <w:b/>
              </w:rPr>
            </w:pPr>
            <w:bookmarkStart w:id="16" w:name="prereqs"/>
            <w:bookmarkEnd w:id="16"/>
            <w:r w:rsidRPr="0038103C">
              <w:t xml:space="preserve">ELED/SPED </w:t>
            </w:r>
            <w:r w:rsidR="008C6EC3">
              <w:t>302, SPED 310, SPED 3</w:t>
            </w:r>
            <w:r w:rsidRPr="0038103C">
              <w:t>11, SPED 312, or cons</w:t>
            </w:r>
            <w:r>
              <w:t>ent of department chair</w:t>
            </w:r>
          </w:p>
        </w:tc>
      </w:tr>
      <w:tr w:rsidR="002F08DB" w:rsidRPr="006E3AF2" w14:paraId="5AE5E526" w14:textId="77777777" w:rsidTr="002F08DB">
        <w:tc>
          <w:tcPr>
            <w:tcW w:w="3100" w:type="dxa"/>
            <w:noWrap/>
            <w:vAlign w:val="center"/>
          </w:tcPr>
          <w:p w14:paraId="55E538D7" w14:textId="519A723C" w:rsidR="002F08DB" w:rsidRPr="006E3AF2" w:rsidRDefault="002F08DB" w:rsidP="00013152">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7510" w:type="dxa"/>
            <w:noWrap/>
          </w:tcPr>
          <w:p w14:paraId="6C8D2300" w14:textId="52CC36EE" w:rsidR="002F08DB" w:rsidRPr="009F029C" w:rsidRDefault="002F08DB" w:rsidP="00E64AA4">
            <w:pPr>
              <w:spacing w:line="240" w:lineRule="auto"/>
              <w:rPr>
                <w:b/>
                <w:sz w:val="20"/>
              </w:rPr>
            </w:pPr>
            <w:proofErr w:type="gramStart"/>
            <w:r w:rsidRPr="009F029C">
              <w:rPr>
                <w:b/>
                <w:sz w:val="20"/>
              </w:rPr>
              <w:t xml:space="preserve">Fall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Spring  </w:t>
            </w:r>
          </w:p>
          <w:p w14:paraId="67D1137F" w14:textId="3D758F45" w:rsidR="002F08DB" w:rsidRPr="009F029C" w:rsidRDefault="002F08DB" w:rsidP="00C25F9D">
            <w:pPr>
              <w:spacing w:line="240" w:lineRule="auto"/>
              <w:rPr>
                <w:b/>
                <w:sz w:val="20"/>
              </w:rPr>
            </w:pPr>
          </w:p>
        </w:tc>
      </w:tr>
      <w:tr w:rsidR="002F08DB" w:rsidRPr="006E3AF2" w14:paraId="12464B8B" w14:textId="77777777" w:rsidTr="002F08DB">
        <w:tc>
          <w:tcPr>
            <w:tcW w:w="3100" w:type="dxa"/>
            <w:noWrap/>
            <w:vAlign w:val="center"/>
          </w:tcPr>
          <w:p w14:paraId="4094BFDE" w14:textId="1C3E0692" w:rsidR="002F08DB" w:rsidRPr="006E3AF2" w:rsidRDefault="002F08DB" w:rsidP="00013152">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7510" w:type="dxa"/>
            <w:noWrap/>
          </w:tcPr>
          <w:p w14:paraId="57D144B9" w14:textId="2023E418" w:rsidR="002F08DB" w:rsidRPr="009F029C" w:rsidRDefault="00512888" w:rsidP="001429AA">
            <w:pPr>
              <w:spacing w:line="240" w:lineRule="auto"/>
              <w:rPr>
                <w:b/>
              </w:rPr>
            </w:pPr>
            <w:bookmarkStart w:id="17" w:name="contacthours"/>
            <w:bookmarkEnd w:id="17"/>
            <w:r>
              <w:rPr>
                <w:b/>
              </w:rPr>
              <w:t>3</w:t>
            </w:r>
          </w:p>
        </w:tc>
      </w:tr>
      <w:tr w:rsidR="002F08DB" w:rsidRPr="006E3AF2" w14:paraId="677C9DA2" w14:textId="77777777" w:rsidTr="002F08DB">
        <w:tc>
          <w:tcPr>
            <w:tcW w:w="3100" w:type="dxa"/>
            <w:noWrap/>
            <w:vAlign w:val="center"/>
          </w:tcPr>
          <w:p w14:paraId="2DCCE146" w14:textId="0BAEDDC6" w:rsidR="002F08DB" w:rsidRPr="006E3AF2" w:rsidRDefault="002F08DB" w:rsidP="00013152">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7510" w:type="dxa"/>
            <w:noWrap/>
          </w:tcPr>
          <w:p w14:paraId="7DD4CAFF" w14:textId="369E23BD" w:rsidR="002F08DB" w:rsidRPr="009F029C" w:rsidRDefault="00512888" w:rsidP="001429AA">
            <w:pPr>
              <w:spacing w:line="240" w:lineRule="auto"/>
              <w:rPr>
                <w:b/>
              </w:rPr>
            </w:pPr>
            <w:bookmarkStart w:id="18" w:name="credits"/>
            <w:bookmarkEnd w:id="18"/>
            <w:r>
              <w:rPr>
                <w:b/>
              </w:rPr>
              <w:t>3</w:t>
            </w:r>
          </w:p>
        </w:tc>
      </w:tr>
      <w:tr w:rsidR="002F08DB" w:rsidRPr="006E3AF2" w14:paraId="658C4762" w14:textId="77777777" w:rsidTr="002F08DB">
        <w:trPr>
          <w:gridAfter w:val="1"/>
          <w:wAfter w:w="7510" w:type="dxa"/>
        </w:trPr>
        <w:tc>
          <w:tcPr>
            <w:tcW w:w="3100" w:type="dxa"/>
            <w:noWrap/>
            <w:vAlign w:val="center"/>
          </w:tcPr>
          <w:p w14:paraId="4546E96E" w14:textId="3C01EC5C" w:rsidR="002F08DB" w:rsidRPr="006E3AF2" w:rsidRDefault="002F08DB" w:rsidP="00013152">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bookmarkStart w:id="19" w:name="differences"/>
        <w:bookmarkEnd w:id="19"/>
      </w:tr>
      <w:tr w:rsidR="002F08DB" w:rsidRPr="006E3AF2" w14:paraId="1E5DCF31" w14:textId="77777777" w:rsidTr="002F08DB">
        <w:tc>
          <w:tcPr>
            <w:tcW w:w="3100" w:type="dxa"/>
            <w:noWrap/>
            <w:vAlign w:val="center"/>
          </w:tcPr>
          <w:p w14:paraId="519B79E7" w14:textId="3A9E2D05" w:rsidR="002F08DB" w:rsidRPr="006E3AF2" w:rsidRDefault="002F08DB" w:rsidP="00013152">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7510" w:type="dxa"/>
            <w:noWrap/>
          </w:tcPr>
          <w:p w14:paraId="2CF717EE" w14:textId="0FF6BBE7" w:rsidR="002F08DB" w:rsidRPr="009F029C" w:rsidRDefault="002F08DB" w:rsidP="00E64AA4">
            <w:pPr>
              <w:spacing w:line="240" w:lineRule="auto"/>
              <w:rPr>
                <w:b/>
                <w:sz w:val="20"/>
              </w:rPr>
            </w:pPr>
            <w:r w:rsidRPr="009F029C">
              <w:rPr>
                <w:b/>
                <w:sz w:val="20"/>
              </w:rPr>
              <w:t xml:space="preserve">Letter grade  </w:t>
            </w:r>
          </w:p>
        </w:tc>
      </w:tr>
      <w:tr w:rsidR="002F08DB" w:rsidRPr="006E3AF2" w14:paraId="66DAB74D" w14:textId="77777777" w:rsidTr="002F08DB">
        <w:tc>
          <w:tcPr>
            <w:tcW w:w="3100" w:type="dxa"/>
            <w:noWrap/>
            <w:vAlign w:val="center"/>
          </w:tcPr>
          <w:p w14:paraId="0FE25A74" w14:textId="688A67BD" w:rsidR="002F08DB" w:rsidRPr="006E3AF2" w:rsidRDefault="002F08DB" w:rsidP="00013152">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7510" w:type="dxa"/>
            <w:noWrap/>
          </w:tcPr>
          <w:p w14:paraId="27D66483" w14:textId="6993C56F" w:rsidR="002F08DB" w:rsidRPr="009F029C" w:rsidRDefault="00512888" w:rsidP="00E64AA4">
            <w:pPr>
              <w:spacing w:line="240" w:lineRule="auto"/>
              <w:rPr>
                <w:b/>
                <w:sz w:val="20"/>
              </w:rPr>
            </w:pPr>
            <w:bookmarkStart w:id="20" w:name="instr_methods"/>
            <w:bookmarkEnd w:id="20"/>
            <w:r w:rsidRPr="009F029C">
              <w:rPr>
                <w:rFonts w:ascii="MS Mincho" w:eastAsia="MS Mincho" w:hAnsi="MS Mincho" w:cs="MS Mincho"/>
                <w:b/>
                <w:sz w:val="20"/>
              </w:rPr>
              <w:t xml:space="preserve">| </w:t>
            </w:r>
            <w:r w:rsidRPr="009F029C">
              <w:rPr>
                <w:b/>
                <w:sz w:val="20"/>
              </w:rPr>
              <w:t xml:space="preserve">Lecture  </w:t>
            </w:r>
          </w:p>
        </w:tc>
      </w:tr>
      <w:tr w:rsidR="002F08DB" w:rsidRPr="006E3AF2" w14:paraId="40E0E48F" w14:textId="77777777" w:rsidTr="002F08DB">
        <w:tc>
          <w:tcPr>
            <w:tcW w:w="3100" w:type="dxa"/>
            <w:noWrap/>
            <w:vAlign w:val="center"/>
          </w:tcPr>
          <w:p w14:paraId="6FB6EA46" w14:textId="626BB09F" w:rsidR="002F08DB" w:rsidRPr="006E3AF2" w:rsidRDefault="002F08DB" w:rsidP="00013152">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7510" w:type="dxa"/>
            <w:noWrap/>
          </w:tcPr>
          <w:p w14:paraId="442E5788" w14:textId="1E557D64" w:rsidR="002F08DB" w:rsidRPr="009F029C" w:rsidRDefault="002F08DB" w:rsidP="00E64AA4">
            <w:pPr>
              <w:spacing w:line="240" w:lineRule="auto"/>
              <w:rPr>
                <w:b/>
                <w:sz w:val="20"/>
              </w:rPr>
            </w:pPr>
            <w:bookmarkStart w:id="21" w:name="required"/>
            <w:bookmarkEnd w:id="21"/>
            <w:r w:rsidRPr="009F029C">
              <w:rPr>
                <w:b/>
                <w:sz w:val="20"/>
              </w:rPr>
              <w:t>Required for major</w:t>
            </w:r>
          </w:p>
        </w:tc>
      </w:tr>
      <w:tr w:rsidR="002F08DB" w:rsidRPr="006E3AF2" w14:paraId="4F77409C" w14:textId="77777777" w:rsidTr="002F08DB">
        <w:tc>
          <w:tcPr>
            <w:tcW w:w="3100" w:type="dxa"/>
            <w:noWrap/>
            <w:vAlign w:val="center"/>
          </w:tcPr>
          <w:p w14:paraId="0EAD07DC" w14:textId="7416D5C4" w:rsidR="002F08DB" w:rsidRPr="006E3AF2" w:rsidRDefault="002F08DB" w:rsidP="00013152">
            <w:pPr>
              <w:spacing w:line="240" w:lineRule="auto"/>
            </w:pPr>
            <w:r>
              <w:t xml:space="preserve">B.13. </w:t>
            </w:r>
            <w:r w:rsidRPr="006E3AF2">
              <w:t>Is this an Honors course?</w:t>
            </w:r>
          </w:p>
        </w:tc>
        <w:tc>
          <w:tcPr>
            <w:tcW w:w="7510" w:type="dxa"/>
            <w:noWrap/>
          </w:tcPr>
          <w:p w14:paraId="41CF798F" w14:textId="50B8343A" w:rsidR="002F08DB" w:rsidRPr="009F029C" w:rsidRDefault="002F08DB" w:rsidP="001429AA">
            <w:pPr>
              <w:spacing w:line="240" w:lineRule="auto"/>
              <w:rPr>
                <w:b/>
              </w:rPr>
            </w:pPr>
            <w:r>
              <w:rPr>
                <w:b/>
              </w:rPr>
              <w:t>NO</w:t>
            </w:r>
          </w:p>
        </w:tc>
      </w:tr>
      <w:tr w:rsidR="002F08DB" w:rsidRPr="006E3AF2" w14:paraId="3A6D1D6E" w14:textId="77777777" w:rsidTr="002F08DB">
        <w:tc>
          <w:tcPr>
            <w:tcW w:w="3100" w:type="dxa"/>
            <w:noWrap/>
            <w:vAlign w:val="center"/>
          </w:tcPr>
          <w:p w14:paraId="0625709D" w14:textId="77777777" w:rsidR="002F08DB" w:rsidRDefault="002F08DB" w:rsidP="007A5702">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2F08DB" w:rsidRPr="00984B36" w:rsidRDefault="002F08DB" w:rsidP="00880392">
            <w:pPr>
              <w:spacing w:line="240" w:lineRule="auto"/>
            </w:pPr>
            <w:r w:rsidRPr="00984B36">
              <w:t xml:space="preserve">N.B. Connections must </w:t>
            </w:r>
            <w:r>
              <w:t>include</w:t>
            </w:r>
            <w:r w:rsidRPr="00984B36">
              <w:t xml:space="preserve"> at least 50% </w:t>
            </w:r>
            <w:r>
              <w:t>Standard Classroom instruction</w:t>
            </w:r>
            <w:r w:rsidRPr="00984B36">
              <w:t>.</w:t>
            </w:r>
          </w:p>
        </w:tc>
        <w:tc>
          <w:tcPr>
            <w:tcW w:w="7510" w:type="dxa"/>
            <w:noWrap/>
          </w:tcPr>
          <w:p w14:paraId="45B135E3" w14:textId="0E0B51D7" w:rsidR="002F08DB" w:rsidRPr="009F029C" w:rsidRDefault="002F08DB" w:rsidP="00E64AA4">
            <w:pPr>
              <w:spacing w:line="240" w:lineRule="auto"/>
              <w:rPr>
                <w:b/>
                <w:sz w:val="20"/>
              </w:rPr>
            </w:pPr>
            <w:bookmarkStart w:id="22" w:name="ge"/>
            <w:bookmarkEnd w:id="22"/>
            <w:r>
              <w:rPr>
                <w:b/>
              </w:rPr>
              <w:t xml:space="preserve">NO </w:t>
            </w:r>
          </w:p>
        </w:tc>
      </w:tr>
      <w:tr w:rsidR="002F08DB" w:rsidRPr="006E3AF2" w14:paraId="7309520B" w14:textId="77777777" w:rsidTr="002F08DB">
        <w:tc>
          <w:tcPr>
            <w:tcW w:w="3100" w:type="dxa"/>
            <w:noWrap/>
            <w:vAlign w:val="center"/>
          </w:tcPr>
          <w:p w14:paraId="070EE83F" w14:textId="361D2585" w:rsidR="002F08DB" w:rsidRPr="006E3AF2" w:rsidRDefault="002F08DB" w:rsidP="00BB11B9">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7510" w:type="dxa"/>
            <w:noWrap/>
          </w:tcPr>
          <w:p w14:paraId="1B16B895" w14:textId="77777777" w:rsidR="00512888" w:rsidRPr="009F029C" w:rsidRDefault="00512888" w:rsidP="00512888">
            <w:pPr>
              <w:spacing w:line="240" w:lineRule="auto"/>
              <w:rPr>
                <w:rFonts w:ascii="MS Mincho" w:eastAsia="MS Mincho" w:hAnsi="MS Mincho" w:cs="MS Mincho"/>
                <w:b/>
                <w:sz w:val="20"/>
              </w:rPr>
            </w:pPr>
            <w:bookmarkStart w:id="23" w:name="performance"/>
            <w:bookmarkEnd w:id="23"/>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w:t>
            </w:r>
            <w:r>
              <w:rPr>
                <w:b/>
                <w:sz w:val="20"/>
              </w:rPr>
              <w:t xml:space="preserve">Clinical work |  </w:t>
            </w:r>
            <w:r w:rsidRPr="009F029C">
              <w:rPr>
                <w:b/>
                <w:sz w:val="20"/>
              </w:rPr>
              <w:t xml:space="preserve">Exams  </w:t>
            </w:r>
            <w:r w:rsidRPr="009F029C">
              <w:rPr>
                <w:rFonts w:ascii="MS Mincho" w:eastAsia="MS Mincho" w:hAnsi="MS Mincho" w:cs="MS Mincho"/>
                <w:b/>
                <w:sz w:val="20"/>
              </w:rPr>
              <w:t xml:space="preserve">| </w:t>
            </w:r>
            <w:r w:rsidRPr="009F029C">
              <w:rPr>
                <w:b/>
                <w:sz w:val="20"/>
              </w:rPr>
              <w:t xml:space="preserve"> </w:t>
            </w:r>
            <w:r>
              <w:rPr>
                <w:b/>
                <w:sz w:val="20"/>
              </w:rPr>
              <w:t xml:space="preserve">Fieldwork | </w:t>
            </w:r>
            <w:r w:rsidRPr="009F029C">
              <w:rPr>
                <w:b/>
                <w:sz w:val="20"/>
              </w:rPr>
              <w:t xml:space="preserve">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51B3ED51" w14:textId="77777777" w:rsidR="00512888" w:rsidRPr="009F029C" w:rsidRDefault="00512888" w:rsidP="00512888">
            <w:pPr>
              <w:spacing w:line="240" w:lineRule="auto"/>
              <w:rPr>
                <w:b/>
                <w:sz w:val="20"/>
              </w:rPr>
            </w:pPr>
            <w:r w:rsidRPr="009F029C">
              <w:rPr>
                <w:b/>
                <w:sz w:val="20"/>
              </w:rPr>
              <w:t xml:space="preserve">Class </w:t>
            </w:r>
            <w:proofErr w:type="gramStart"/>
            <w:r w:rsidRPr="009F029C">
              <w:rPr>
                <w:b/>
                <w:sz w:val="20"/>
              </w:rPr>
              <w:t xml:space="preserve">Work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Interviews </w:t>
            </w:r>
            <w:r w:rsidRPr="009F029C">
              <w:rPr>
                <w:rFonts w:ascii="MS Mincho" w:eastAsia="MS Mincho" w:hAnsi="MS Mincho" w:cs="MS Mincho"/>
                <w:b/>
                <w:sz w:val="20"/>
              </w:rPr>
              <w:t xml:space="preserve">| </w:t>
            </w:r>
            <w:r w:rsidRPr="009F029C">
              <w:rPr>
                <w:b/>
                <w:sz w:val="20"/>
              </w:rPr>
              <w:t>Quizzes |</w:t>
            </w:r>
          </w:p>
          <w:p w14:paraId="7EA4174F" w14:textId="77777777" w:rsidR="00512888" w:rsidRPr="009F029C" w:rsidRDefault="00512888" w:rsidP="00512888">
            <w:pPr>
              <w:spacing w:line="240" w:lineRule="auto"/>
              <w:rPr>
                <w:b/>
                <w:sz w:val="20"/>
              </w:rPr>
            </w:pPr>
            <w:r w:rsidRPr="009F029C">
              <w:rPr>
                <w:b/>
                <w:sz w:val="20"/>
              </w:rPr>
              <w:t xml:space="preserve">Performance </w:t>
            </w:r>
            <w:proofErr w:type="gramStart"/>
            <w:r w:rsidRPr="009F029C">
              <w:rPr>
                <w:b/>
                <w:sz w:val="20"/>
              </w:rPr>
              <w:t xml:space="preserve">Protocols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33AC4615" w14:textId="35AF2477" w:rsidR="002F08DB" w:rsidRPr="009F029C" w:rsidRDefault="002F08DB" w:rsidP="00FA769F">
            <w:pPr>
              <w:spacing w:line="240" w:lineRule="auto"/>
              <w:rPr>
                <w:b/>
                <w:sz w:val="20"/>
              </w:rPr>
            </w:pPr>
          </w:p>
        </w:tc>
      </w:tr>
      <w:tr w:rsidR="002F08DB" w:rsidRPr="006E3AF2" w14:paraId="071E0CC5" w14:textId="77777777" w:rsidTr="002F08DB">
        <w:tc>
          <w:tcPr>
            <w:tcW w:w="3100" w:type="dxa"/>
            <w:noWrap/>
            <w:vAlign w:val="center"/>
          </w:tcPr>
          <w:p w14:paraId="479D5599" w14:textId="6B878BA0" w:rsidR="002F08DB" w:rsidRPr="006E3AF2" w:rsidRDefault="002F08DB" w:rsidP="00BB11B9">
            <w:pPr>
              <w:spacing w:line="240" w:lineRule="auto"/>
            </w:pPr>
            <w:r>
              <w:t xml:space="preserve">B.16.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7510" w:type="dxa"/>
            <w:noWrap/>
          </w:tcPr>
          <w:p w14:paraId="15AF74BC" w14:textId="77777777" w:rsidR="002F08DB" w:rsidRPr="009F029C" w:rsidRDefault="002F08DB" w:rsidP="001429AA">
            <w:pPr>
              <w:spacing w:line="240" w:lineRule="auto"/>
              <w:rPr>
                <w:b/>
              </w:rPr>
            </w:pPr>
            <w:bookmarkStart w:id="24" w:name="competing"/>
            <w:bookmarkEnd w:id="24"/>
          </w:p>
        </w:tc>
      </w:tr>
      <w:tr w:rsidR="002F08DB" w:rsidRPr="006E3AF2" w14:paraId="5CAD96CC" w14:textId="77777777" w:rsidTr="002F08DB">
        <w:trPr>
          <w:gridAfter w:val="1"/>
          <w:wAfter w:w="7510" w:type="dxa"/>
        </w:trPr>
        <w:tc>
          <w:tcPr>
            <w:tcW w:w="3100" w:type="dxa"/>
            <w:noWrap/>
            <w:vAlign w:val="center"/>
          </w:tcPr>
          <w:p w14:paraId="26DC8516" w14:textId="2FF25705" w:rsidR="002F08DB" w:rsidRPr="006E3AF2" w:rsidRDefault="002F08DB" w:rsidP="00013152">
            <w:pPr>
              <w:spacing w:line="240" w:lineRule="auto"/>
            </w:pPr>
            <w:r>
              <w:t xml:space="preserve">B. 17. </w:t>
            </w:r>
            <w:r w:rsidRPr="00EC63A4">
              <w:t>Other changes, if any</w:t>
            </w: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213"/>
        <w:gridCol w:w="2206"/>
        <w:gridCol w:w="4361"/>
      </w:tblGrid>
      <w:tr w:rsidR="00F64260" w:rsidRPr="00402602" w14:paraId="707BEBAF" w14:textId="77777777" w:rsidTr="0089208D">
        <w:trPr>
          <w:cantSplit/>
          <w:tblHeader/>
        </w:trPr>
        <w:tc>
          <w:tcPr>
            <w:tcW w:w="4341"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4663A8">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545" w:type="dxa"/>
          </w:tcPr>
          <w:p w14:paraId="7AE9A56B" w14:textId="55D1A70C" w:rsidR="00F64260" w:rsidRPr="00402602" w:rsidRDefault="004663A8"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512888" w14:paraId="4E87FEBC" w14:textId="77777777" w:rsidTr="00512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341" w:type="dxa"/>
          </w:tcPr>
          <w:p w14:paraId="4FC67DB0" w14:textId="77777777" w:rsidR="00512888" w:rsidRDefault="00512888" w:rsidP="00512888">
            <w:pPr>
              <w:numPr>
                <w:ilvl w:val="0"/>
                <w:numId w:val="17"/>
              </w:numPr>
              <w:pBdr>
                <w:top w:val="nil"/>
                <w:left w:val="nil"/>
                <w:bottom w:val="nil"/>
                <w:right w:val="nil"/>
                <w:between w:val="nil"/>
              </w:pBdr>
              <w:contextualSpacing/>
            </w:pPr>
            <w:bookmarkStart w:id="25" w:name="outcomes"/>
            <w:bookmarkEnd w:id="25"/>
            <w:r>
              <w:rPr>
                <w:rFonts w:ascii="Calibri" w:eastAsia="Calibri" w:hAnsi="Calibri" w:cs="Calibri"/>
                <w:color w:val="000000"/>
              </w:rPr>
              <w:t xml:space="preserve">Demonstrate understanding of cultural diversity and cultural influence on learning and behavior. </w:t>
            </w:r>
          </w:p>
        </w:tc>
        <w:tc>
          <w:tcPr>
            <w:tcW w:w="1894" w:type="dxa"/>
          </w:tcPr>
          <w:p w14:paraId="0CD0BB35" w14:textId="77777777" w:rsidR="00512888" w:rsidRDefault="00512888" w:rsidP="00A15A19">
            <w:pPr>
              <w:widowControl w:val="0"/>
              <w:rPr>
                <w:b/>
              </w:rPr>
            </w:pPr>
            <w:r>
              <w:rPr>
                <w:b/>
              </w:rPr>
              <w:t>Knowledge: Human</w:t>
            </w:r>
          </w:p>
          <w:p w14:paraId="3EAA93CE" w14:textId="77777777" w:rsidR="00512888" w:rsidRDefault="00512888" w:rsidP="00A15A19">
            <w:pPr>
              <w:widowControl w:val="0"/>
              <w:rPr>
                <w:b/>
              </w:rPr>
            </w:pPr>
            <w:r>
              <w:rPr>
                <w:b/>
              </w:rPr>
              <w:t>Learning and Development</w:t>
            </w:r>
          </w:p>
          <w:p w14:paraId="30F51E7A" w14:textId="77777777" w:rsidR="00512888" w:rsidRDefault="00512888" w:rsidP="00A15A19">
            <w:r>
              <w:t>RIPTS:1 &amp; 2</w:t>
            </w:r>
          </w:p>
          <w:p w14:paraId="469F0397" w14:textId="77777777" w:rsidR="00512888" w:rsidRDefault="00512888" w:rsidP="00A15A19">
            <w:pPr>
              <w:spacing w:line="240" w:lineRule="auto"/>
            </w:pPr>
            <w:r>
              <w:rPr>
                <w:b/>
              </w:rPr>
              <w:t>TESOL 1 a &amp; 2</w:t>
            </w:r>
          </w:p>
        </w:tc>
        <w:tc>
          <w:tcPr>
            <w:tcW w:w="4545" w:type="dxa"/>
          </w:tcPr>
          <w:p w14:paraId="5D598674" w14:textId="77777777" w:rsidR="00512888" w:rsidRDefault="00512888" w:rsidP="00A15A19">
            <w:pPr>
              <w:spacing w:line="240" w:lineRule="auto"/>
            </w:pPr>
            <w:r>
              <w:rPr>
                <w:rFonts w:ascii="Calibri" w:eastAsia="Calibri" w:hAnsi="Calibri" w:cs="Calibri"/>
                <w:b/>
                <w:color w:val="000000"/>
              </w:rPr>
              <w:t>Families from Diverse Backgrounds Project.</w:t>
            </w:r>
          </w:p>
        </w:tc>
      </w:tr>
      <w:tr w:rsidR="00512888" w14:paraId="4FD2AFB4" w14:textId="77777777" w:rsidTr="00512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341" w:type="dxa"/>
          </w:tcPr>
          <w:p w14:paraId="52445008" w14:textId="77777777" w:rsidR="00512888" w:rsidRDefault="00512888" w:rsidP="00512888">
            <w:pPr>
              <w:numPr>
                <w:ilvl w:val="0"/>
                <w:numId w:val="17"/>
              </w:numPr>
              <w:pBdr>
                <w:top w:val="nil"/>
                <w:left w:val="nil"/>
                <w:bottom w:val="nil"/>
                <w:right w:val="nil"/>
                <w:between w:val="nil"/>
              </w:pBdr>
              <w:spacing w:line="240" w:lineRule="auto"/>
              <w:contextualSpacing/>
            </w:pPr>
            <w:r>
              <w:rPr>
                <w:rFonts w:ascii="Calibri" w:eastAsia="Calibri" w:hAnsi="Calibri" w:cs="Calibri"/>
                <w:color w:val="000000"/>
              </w:rPr>
              <w:t xml:space="preserve">Show a respect for the role of culture and native language in the healthy development of the student from a linguistic, emotional, social, and cognitive perspective. </w:t>
            </w:r>
          </w:p>
        </w:tc>
        <w:tc>
          <w:tcPr>
            <w:tcW w:w="1894" w:type="dxa"/>
          </w:tcPr>
          <w:p w14:paraId="21BF25AA" w14:textId="77777777" w:rsidR="00512888" w:rsidRDefault="00512888" w:rsidP="00A15A19">
            <w:pPr>
              <w:widowControl w:val="0"/>
              <w:rPr>
                <w:b/>
              </w:rPr>
            </w:pPr>
            <w:r>
              <w:rPr>
                <w:b/>
              </w:rPr>
              <w:t>Knowledge: Human</w:t>
            </w:r>
          </w:p>
          <w:p w14:paraId="3D14ADAB" w14:textId="77777777" w:rsidR="00512888" w:rsidRDefault="00512888" w:rsidP="00A15A19">
            <w:pPr>
              <w:widowControl w:val="0"/>
              <w:rPr>
                <w:b/>
              </w:rPr>
            </w:pPr>
            <w:r>
              <w:rPr>
                <w:b/>
              </w:rPr>
              <w:t>Learning and Development</w:t>
            </w:r>
          </w:p>
          <w:p w14:paraId="5D575AD3" w14:textId="77777777" w:rsidR="00512888" w:rsidRDefault="00512888" w:rsidP="00A15A19">
            <w:pPr>
              <w:widowControl w:val="0"/>
              <w:rPr>
                <w:b/>
              </w:rPr>
            </w:pPr>
            <w:r>
              <w:rPr>
                <w:b/>
              </w:rPr>
              <w:t>Knowledge: Areas of</w:t>
            </w:r>
          </w:p>
          <w:p w14:paraId="7B444B75" w14:textId="77777777" w:rsidR="00512888" w:rsidRDefault="00512888" w:rsidP="00A15A19">
            <w:pPr>
              <w:widowControl w:val="0"/>
              <w:rPr>
                <w:b/>
              </w:rPr>
            </w:pPr>
            <w:r>
              <w:rPr>
                <w:b/>
              </w:rPr>
              <w:t>Specialization,</w:t>
            </w:r>
          </w:p>
          <w:p w14:paraId="060FBC8C" w14:textId="77777777" w:rsidR="00512888" w:rsidRDefault="00512888" w:rsidP="00A15A19">
            <w:r>
              <w:t>RIPTS:1 &amp; 2</w:t>
            </w:r>
          </w:p>
          <w:p w14:paraId="24C0EFD9" w14:textId="77777777" w:rsidR="00512888" w:rsidRDefault="00512888" w:rsidP="00A15A19">
            <w:pPr>
              <w:spacing w:line="240" w:lineRule="auto"/>
            </w:pPr>
            <w:r>
              <w:rPr>
                <w:b/>
              </w:rPr>
              <w:lastRenderedPageBreak/>
              <w:t>TESOL 1 a &amp; 2</w:t>
            </w:r>
          </w:p>
        </w:tc>
        <w:tc>
          <w:tcPr>
            <w:tcW w:w="4545" w:type="dxa"/>
          </w:tcPr>
          <w:p w14:paraId="18BE1906" w14:textId="77777777" w:rsidR="00512888" w:rsidRDefault="00512888" w:rsidP="00A15A19">
            <w:pPr>
              <w:spacing w:line="240" w:lineRule="auto"/>
            </w:pPr>
            <w:r>
              <w:rPr>
                <w:rFonts w:ascii="Calibri" w:eastAsia="Calibri" w:hAnsi="Calibri" w:cs="Calibri"/>
                <w:b/>
                <w:color w:val="000000"/>
              </w:rPr>
              <w:lastRenderedPageBreak/>
              <w:t>Families from Diverse Backgrounds Project.</w:t>
            </w:r>
          </w:p>
        </w:tc>
      </w:tr>
      <w:tr w:rsidR="00512888" w14:paraId="4321B548" w14:textId="77777777" w:rsidTr="00512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341" w:type="dxa"/>
          </w:tcPr>
          <w:p w14:paraId="60AB72E4" w14:textId="77777777" w:rsidR="00512888" w:rsidRDefault="00512888" w:rsidP="00512888">
            <w:pPr>
              <w:numPr>
                <w:ilvl w:val="0"/>
                <w:numId w:val="17"/>
              </w:numPr>
              <w:pBdr>
                <w:top w:val="nil"/>
                <w:left w:val="nil"/>
                <w:bottom w:val="nil"/>
                <w:right w:val="nil"/>
                <w:between w:val="nil"/>
              </w:pBdr>
              <w:spacing w:line="240" w:lineRule="auto"/>
              <w:contextualSpacing/>
            </w:pPr>
            <w:r>
              <w:rPr>
                <w:rFonts w:ascii="Calibri" w:eastAsia="Calibri" w:hAnsi="Calibri" w:cs="Calibri"/>
                <w:color w:val="000000"/>
              </w:rPr>
              <w:t xml:space="preserve">Demonstrate understanding of culturally competent framework and apply pedagogical implication for English learners with and without disabilities. </w:t>
            </w:r>
          </w:p>
        </w:tc>
        <w:tc>
          <w:tcPr>
            <w:tcW w:w="1894" w:type="dxa"/>
          </w:tcPr>
          <w:p w14:paraId="2C638140" w14:textId="77777777" w:rsidR="00512888" w:rsidRDefault="00512888" w:rsidP="00A15A19">
            <w:pPr>
              <w:widowControl w:val="0"/>
              <w:rPr>
                <w:b/>
              </w:rPr>
            </w:pPr>
            <w:proofErr w:type="gramStart"/>
            <w:r>
              <w:rPr>
                <w:b/>
              </w:rPr>
              <w:t>Pedagogy::</w:t>
            </w:r>
            <w:proofErr w:type="gramEnd"/>
            <w:r>
              <w:rPr>
                <w:b/>
              </w:rPr>
              <w:t xml:space="preserve"> Theory and Practice of Teaching and Learning; Assessment &amp; Instruction </w:t>
            </w:r>
          </w:p>
          <w:p w14:paraId="006247B9" w14:textId="77777777" w:rsidR="00512888" w:rsidRDefault="00512888" w:rsidP="00A15A19">
            <w:r>
              <w:t xml:space="preserve">RIPTS: 3 &amp; 4 </w:t>
            </w:r>
          </w:p>
          <w:p w14:paraId="55664505" w14:textId="77777777" w:rsidR="00512888" w:rsidRDefault="00512888" w:rsidP="00A15A19">
            <w:r>
              <w:t>ELL Initiatives</w:t>
            </w:r>
          </w:p>
          <w:p w14:paraId="4F72AF3A" w14:textId="77777777" w:rsidR="00512888" w:rsidRDefault="00512888" w:rsidP="00A15A19">
            <w:pPr>
              <w:tabs>
                <w:tab w:val="left" w:pos="1020"/>
              </w:tabs>
            </w:pPr>
            <w:r>
              <w:rPr>
                <w:b/>
              </w:rPr>
              <w:t>TESOL 3a and 3b</w:t>
            </w:r>
          </w:p>
        </w:tc>
        <w:tc>
          <w:tcPr>
            <w:tcW w:w="4545" w:type="dxa"/>
          </w:tcPr>
          <w:p w14:paraId="7DB92732" w14:textId="77777777" w:rsidR="00512888" w:rsidRDefault="00512888" w:rsidP="00A15A19">
            <w:pPr>
              <w:tabs>
                <w:tab w:val="left" w:pos="585"/>
              </w:tabs>
            </w:pPr>
            <w:r>
              <w:rPr>
                <w:rFonts w:ascii="Calibri" w:eastAsia="Calibri" w:hAnsi="Calibri" w:cs="Calibri"/>
                <w:b/>
                <w:color w:val="000000"/>
              </w:rPr>
              <w:t>Instruction Case Study Analysis (Video Analysis).</w:t>
            </w:r>
          </w:p>
        </w:tc>
      </w:tr>
      <w:tr w:rsidR="00512888" w14:paraId="5533AF76" w14:textId="77777777" w:rsidTr="00512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341" w:type="dxa"/>
          </w:tcPr>
          <w:p w14:paraId="7F345867" w14:textId="77777777" w:rsidR="00512888" w:rsidRDefault="00512888" w:rsidP="00512888">
            <w:pPr>
              <w:numPr>
                <w:ilvl w:val="0"/>
                <w:numId w:val="17"/>
              </w:numPr>
              <w:pBdr>
                <w:top w:val="nil"/>
                <w:left w:val="nil"/>
                <w:bottom w:val="nil"/>
                <w:right w:val="nil"/>
                <w:between w:val="nil"/>
              </w:pBdr>
              <w:spacing w:line="240" w:lineRule="auto"/>
              <w:contextualSpacing/>
            </w:pPr>
            <w:r>
              <w:rPr>
                <w:rFonts w:ascii="Calibri" w:eastAsia="Calibri" w:hAnsi="Calibri" w:cs="Calibri"/>
                <w:color w:val="000000"/>
              </w:rPr>
              <w:t xml:space="preserve">Demonstrate understanding of second language acquisition and apply pedagogical implications for English Learners with and without disabilities. </w:t>
            </w:r>
          </w:p>
        </w:tc>
        <w:tc>
          <w:tcPr>
            <w:tcW w:w="1894" w:type="dxa"/>
          </w:tcPr>
          <w:p w14:paraId="1630720A" w14:textId="77777777" w:rsidR="00512888" w:rsidRDefault="00512888" w:rsidP="00A15A19">
            <w:pPr>
              <w:widowControl w:val="0"/>
              <w:rPr>
                <w:b/>
              </w:rPr>
            </w:pPr>
            <w:r>
              <w:rPr>
                <w:b/>
              </w:rPr>
              <w:t>Pedagogy: Theory and Practice of Teaching and</w:t>
            </w:r>
          </w:p>
          <w:p w14:paraId="5B939E9B" w14:textId="77777777" w:rsidR="00512888" w:rsidRDefault="00512888" w:rsidP="00A15A19">
            <w:pPr>
              <w:widowControl w:val="0"/>
              <w:rPr>
                <w:b/>
              </w:rPr>
            </w:pPr>
            <w:r>
              <w:rPr>
                <w:b/>
              </w:rPr>
              <w:t>Learning; Assessment &amp; Instruction</w:t>
            </w:r>
          </w:p>
          <w:p w14:paraId="49388A42" w14:textId="77777777" w:rsidR="00512888" w:rsidRDefault="00512888" w:rsidP="00A15A19">
            <w:r>
              <w:t xml:space="preserve">RIPTS: 3 &amp; 4 </w:t>
            </w:r>
          </w:p>
          <w:p w14:paraId="191CD9AD" w14:textId="77777777" w:rsidR="00512888" w:rsidRDefault="00512888" w:rsidP="00A15A19">
            <w:r>
              <w:t>WIDA English Language Development</w:t>
            </w:r>
          </w:p>
          <w:p w14:paraId="02D77135" w14:textId="77777777" w:rsidR="00512888" w:rsidRDefault="00512888" w:rsidP="00A15A19">
            <w:r>
              <w:t>Standards</w:t>
            </w:r>
          </w:p>
          <w:p w14:paraId="1E1EA9F1" w14:textId="77777777" w:rsidR="00512888" w:rsidRDefault="00512888" w:rsidP="00A15A19">
            <w:r>
              <w:t>ELL Initiatives</w:t>
            </w:r>
          </w:p>
          <w:p w14:paraId="196A320F" w14:textId="77777777" w:rsidR="00512888" w:rsidRDefault="00512888" w:rsidP="00A15A19">
            <w:pPr>
              <w:spacing w:line="240" w:lineRule="auto"/>
            </w:pPr>
            <w:r>
              <w:rPr>
                <w:b/>
              </w:rPr>
              <w:t>TESOL 3a and 3b</w:t>
            </w:r>
          </w:p>
        </w:tc>
        <w:tc>
          <w:tcPr>
            <w:tcW w:w="4545" w:type="dxa"/>
          </w:tcPr>
          <w:p w14:paraId="1A0F3A13" w14:textId="77777777" w:rsidR="00512888" w:rsidRDefault="00512888" w:rsidP="00A15A19">
            <w:pPr>
              <w:spacing w:line="240" w:lineRule="auto"/>
            </w:pPr>
            <w:r>
              <w:rPr>
                <w:rFonts w:ascii="Calibri" w:eastAsia="Calibri" w:hAnsi="Calibri" w:cs="Calibri"/>
                <w:b/>
                <w:color w:val="000000"/>
              </w:rPr>
              <w:t>Instruction Case Study Analysis. (Video Analysis).</w:t>
            </w:r>
          </w:p>
        </w:tc>
      </w:tr>
      <w:tr w:rsidR="00512888" w14:paraId="5887DC92" w14:textId="77777777" w:rsidTr="00512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341" w:type="dxa"/>
          </w:tcPr>
          <w:p w14:paraId="3ADF236D" w14:textId="77777777" w:rsidR="00512888" w:rsidRDefault="00512888" w:rsidP="00512888">
            <w:pPr>
              <w:numPr>
                <w:ilvl w:val="0"/>
                <w:numId w:val="17"/>
              </w:numPr>
              <w:pBdr>
                <w:top w:val="nil"/>
                <w:left w:val="nil"/>
                <w:bottom w:val="nil"/>
                <w:right w:val="nil"/>
                <w:between w:val="nil"/>
              </w:pBdr>
              <w:spacing w:line="240" w:lineRule="auto"/>
              <w:contextualSpacing/>
            </w:pPr>
            <w:r>
              <w:rPr>
                <w:rFonts w:ascii="Calibri" w:eastAsia="Calibri" w:hAnsi="Calibri" w:cs="Calibri"/>
                <w:color w:val="000000"/>
              </w:rPr>
              <w:t>Demonstrate understanding of the differences between limited language proficiency and language/learning disorders.</w:t>
            </w:r>
          </w:p>
        </w:tc>
        <w:tc>
          <w:tcPr>
            <w:tcW w:w="1894" w:type="dxa"/>
          </w:tcPr>
          <w:p w14:paraId="1D5ED31C" w14:textId="77777777" w:rsidR="00512888" w:rsidRDefault="00512888" w:rsidP="00A15A19">
            <w:pPr>
              <w:widowControl w:val="0"/>
            </w:pPr>
            <w:r>
              <w:rPr>
                <w:b/>
              </w:rPr>
              <w:t xml:space="preserve">Pedagogy: Theory and Practice of Teaching and Learning; Assessment </w:t>
            </w:r>
            <w:r>
              <w:t>RIPTS: 9</w:t>
            </w:r>
          </w:p>
          <w:p w14:paraId="59D589B9" w14:textId="77777777" w:rsidR="00512888" w:rsidRDefault="00512888" w:rsidP="00A15A19">
            <w:r>
              <w:t>WIDA English Language Development</w:t>
            </w:r>
          </w:p>
          <w:p w14:paraId="70117305" w14:textId="77777777" w:rsidR="00512888" w:rsidRDefault="00512888" w:rsidP="00A15A19">
            <w:r>
              <w:t>Standards</w:t>
            </w:r>
          </w:p>
          <w:p w14:paraId="68766779" w14:textId="77777777" w:rsidR="00512888" w:rsidRDefault="00512888" w:rsidP="00A15A19">
            <w:pPr>
              <w:spacing w:line="240" w:lineRule="auto"/>
            </w:pPr>
            <w:r>
              <w:rPr>
                <w:b/>
              </w:rPr>
              <w:t>TESOL 4a, 4b, 4c</w:t>
            </w:r>
          </w:p>
        </w:tc>
        <w:tc>
          <w:tcPr>
            <w:tcW w:w="4545" w:type="dxa"/>
          </w:tcPr>
          <w:p w14:paraId="216C7316" w14:textId="77777777" w:rsidR="00512888" w:rsidRDefault="00512888" w:rsidP="00A15A19">
            <w:pPr>
              <w:spacing w:line="240" w:lineRule="auto"/>
            </w:pPr>
            <w:r>
              <w:rPr>
                <w:rFonts w:ascii="Calibri" w:eastAsia="Calibri" w:hAnsi="Calibri" w:cs="Calibri"/>
                <w:b/>
                <w:color w:val="000000"/>
              </w:rPr>
              <w:t>Assessment Case Study Analysis.</w:t>
            </w:r>
          </w:p>
        </w:tc>
      </w:tr>
      <w:tr w:rsidR="00512888" w14:paraId="7665A16F" w14:textId="77777777" w:rsidTr="00512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341" w:type="dxa"/>
          </w:tcPr>
          <w:p w14:paraId="6F25B51D" w14:textId="77777777" w:rsidR="00512888" w:rsidRDefault="00512888" w:rsidP="00512888">
            <w:pPr>
              <w:numPr>
                <w:ilvl w:val="0"/>
                <w:numId w:val="17"/>
              </w:numPr>
              <w:pBdr>
                <w:top w:val="nil"/>
                <w:left w:val="nil"/>
                <w:bottom w:val="nil"/>
                <w:right w:val="nil"/>
                <w:between w:val="nil"/>
              </w:pBdr>
              <w:spacing w:line="240" w:lineRule="auto"/>
              <w:contextualSpacing/>
            </w:pPr>
            <w:r>
              <w:rPr>
                <w:rFonts w:ascii="Calibri" w:eastAsia="Calibri" w:hAnsi="Calibri" w:cs="Calibri"/>
                <w:color w:val="000000"/>
              </w:rPr>
              <w:t xml:space="preserve">Develop the understanding of cultural/linguistic biases in standardized </w:t>
            </w:r>
            <w:proofErr w:type="gramStart"/>
            <w:r>
              <w:rPr>
                <w:rFonts w:ascii="Calibri" w:eastAsia="Calibri" w:hAnsi="Calibri" w:cs="Calibri"/>
                <w:color w:val="000000"/>
              </w:rPr>
              <w:t>assessments, and</w:t>
            </w:r>
            <w:proofErr w:type="gramEnd"/>
            <w:r>
              <w:rPr>
                <w:rFonts w:ascii="Calibri" w:eastAsia="Calibri" w:hAnsi="Calibri" w:cs="Calibri"/>
                <w:color w:val="000000"/>
              </w:rPr>
              <w:t xml:space="preserve"> apply basic skills in ecologically valid assessment for English learners with disabilities. </w:t>
            </w:r>
          </w:p>
        </w:tc>
        <w:tc>
          <w:tcPr>
            <w:tcW w:w="1894" w:type="dxa"/>
          </w:tcPr>
          <w:p w14:paraId="14A1FED7" w14:textId="77777777" w:rsidR="00512888" w:rsidRDefault="00512888" w:rsidP="00A15A19">
            <w:pPr>
              <w:widowControl w:val="0"/>
              <w:rPr>
                <w:b/>
              </w:rPr>
            </w:pPr>
            <w:r>
              <w:rPr>
                <w:b/>
              </w:rPr>
              <w:t xml:space="preserve">Pedagogy: Assessment </w:t>
            </w:r>
          </w:p>
          <w:p w14:paraId="25BA47C3" w14:textId="77777777" w:rsidR="00512888" w:rsidRDefault="00512888" w:rsidP="00A15A19">
            <w:r>
              <w:t>RIPTS: 9</w:t>
            </w:r>
          </w:p>
          <w:p w14:paraId="765FCC84" w14:textId="77777777" w:rsidR="00512888" w:rsidRDefault="00512888" w:rsidP="00A15A19">
            <w:r>
              <w:t>Multi-Tiered System of Support including RTI</w:t>
            </w:r>
          </w:p>
          <w:p w14:paraId="5435EB7F" w14:textId="77777777" w:rsidR="00512888" w:rsidRDefault="00512888" w:rsidP="00A15A19">
            <w:pPr>
              <w:spacing w:line="240" w:lineRule="auto"/>
            </w:pPr>
            <w:r>
              <w:rPr>
                <w:b/>
              </w:rPr>
              <w:t>TESOL 4a, 4b, 4c</w:t>
            </w:r>
          </w:p>
        </w:tc>
        <w:tc>
          <w:tcPr>
            <w:tcW w:w="4545" w:type="dxa"/>
          </w:tcPr>
          <w:p w14:paraId="3398579B" w14:textId="77777777" w:rsidR="00512888" w:rsidRDefault="00512888" w:rsidP="00A15A19">
            <w:pPr>
              <w:spacing w:line="240" w:lineRule="auto"/>
            </w:pPr>
            <w:r>
              <w:rPr>
                <w:rFonts w:ascii="Calibri" w:eastAsia="Calibri" w:hAnsi="Calibri" w:cs="Calibri"/>
                <w:b/>
                <w:color w:val="000000"/>
              </w:rPr>
              <w:t>Assessment Case Study Analysis.</w:t>
            </w:r>
          </w:p>
        </w:tc>
      </w:tr>
      <w:tr w:rsidR="00512888" w14:paraId="773B125E" w14:textId="77777777" w:rsidTr="00512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341" w:type="dxa"/>
          </w:tcPr>
          <w:p w14:paraId="33EF0E25" w14:textId="77777777" w:rsidR="00512888" w:rsidRDefault="00512888" w:rsidP="00512888">
            <w:pPr>
              <w:numPr>
                <w:ilvl w:val="0"/>
                <w:numId w:val="17"/>
              </w:numPr>
              <w:pBdr>
                <w:top w:val="nil"/>
                <w:left w:val="nil"/>
                <w:bottom w:val="nil"/>
                <w:right w:val="nil"/>
                <w:between w:val="nil"/>
              </w:pBdr>
              <w:spacing w:line="240" w:lineRule="auto"/>
              <w:contextualSpacing/>
            </w:pPr>
            <w:r>
              <w:rPr>
                <w:color w:val="000000"/>
              </w:rPr>
              <w:t xml:space="preserve">Demonstrate the knowledge of culturally and linguistically practices in programming and instructional issues, and critique individualized </w:t>
            </w:r>
            <w:r>
              <w:rPr>
                <w:color w:val="000000"/>
              </w:rPr>
              <w:lastRenderedPageBreak/>
              <w:t xml:space="preserve">educational programs for English learners. </w:t>
            </w:r>
          </w:p>
        </w:tc>
        <w:tc>
          <w:tcPr>
            <w:tcW w:w="1894" w:type="dxa"/>
          </w:tcPr>
          <w:p w14:paraId="74FE6DCA" w14:textId="77777777" w:rsidR="00512888" w:rsidRDefault="00512888" w:rsidP="00A15A19">
            <w:pPr>
              <w:widowControl w:val="0"/>
              <w:rPr>
                <w:b/>
              </w:rPr>
            </w:pPr>
            <w:r>
              <w:rPr>
                <w:b/>
              </w:rPr>
              <w:lastRenderedPageBreak/>
              <w:t xml:space="preserve">Pedagogy: Assessment </w:t>
            </w:r>
          </w:p>
          <w:p w14:paraId="5FC6E21B" w14:textId="77777777" w:rsidR="00512888" w:rsidRDefault="00512888" w:rsidP="00A15A19">
            <w:r>
              <w:t>RIPTS 4 &amp; 9</w:t>
            </w:r>
          </w:p>
          <w:p w14:paraId="6BDD0C3C" w14:textId="77777777" w:rsidR="00512888" w:rsidRDefault="00512888" w:rsidP="00A15A19">
            <w:r>
              <w:t>Special Population Initiatives</w:t>
            </w:r>
          </w:p>
          <w:p w14:paraId="1A2B3F41" w14:textId="77777777" w:rsidR="00512888" w:rsidRDefault="00512888" w:rsidP="00A15A19">
            <w:r>
              <w:lastRenderedPageBreak/>
              <w:t>WIDA English Language Development</w:t>
            </w:r>
          </w:p>
          <w:p w14:paraId="082651FF" w14:textId="77777777" w:rsidR="00512888" w:rsidRDefault="00512888" w:rsidP="00A15A19">
            <w:r>
              <w:t>Standards</w:t>
            </w:r>
          </w:p>
          <w:p w14:paraId="41244BA6" w14:textId="77777777" w:rsidR="00512888" w:rsidRDefault="00512888" w:rsidP="00A15A19">
            <w:pPr>
              <w:spacing w:line="240" w:lineRule="auto"/>
            </w:pPr>
            <w:r>
              <w:rPr>
                <w:b/>
              </w:rPr>
              <w:t>TESOL 4a, 4b, 4c</w:t>
            </w:r>
          </w:p>
        </w:tc>
        <w:tc>
          <w:tcPr>
            <w:tcW w:w="4545" w:type="dxa"/>
          </w:tcPr>
          <w:p w14:paraId="2876F8FF" w14:textId="77777777" w:rsidR="00512888" w:rsidRDefault="00512888" w:rsidP="00A15A19">
            <w:pPr>
              <w:spacing w:line="240" w:lineRule="auto"/>
            </w:pPr>
            <w:r>
              <w:rPr>
                <w:rFonts w:ascii="Calibri" w:eastAsia="Calibri" w:hAnsi="Calibri" w:cs="Calibri"/>
                <w:b/>
                <w:color w:val="000000"/>
              </w:rPr>
              <w:lastRenderedPageBreak/>
              <w:t>IEP Project.</w:t>
            </w:r>
          </w:p>
        </w:tc>
      </w:tr>
      <w:tr w:rsidR="00512888" w14:paraId="14D81AF3" w14:textId="77777777" w:rsidTr="00512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341" w:type="dxa"/>
          </w:tcPr>
          <w:p w14:paraId="303CA825" w14:textId="77777777" w:rsidR="00512888" w:rsidRDefault="00512888" w:rsidP="00512888">
            <w:pPr>
              <w:numPr>
                <w:ilvl w:val="0"/>
                <w:numId w:val="17"/>
              </w:numPr>
              <w:pBdr>
                <w:top w:val="nil"/>
                <w:left w:val="nil"/>
                <w:bottom w:val="nil"/>
                <w:right w:val="nil"/>
                <w:between w:val="nil"/>
              </w:pBdr>
              <w:spacing w:line="240" w:lineRule="auto"/>
              <w:contextualSpacing/>
            </w:pPr>
            <w:r>
              <w:rPr>
                <w:rFonts w:ascii="Calibri" w:eastAsia="Calibri" w:hAnsi="Calibri" w:cs="Calibri"/>
                <w:color w:val="000000"/>
              </w:rPr>
              <w:t xml:space="preserve">Research and adapt new technologies for English learners with and without disabilities. </w:t>
            </w:r>
          </w:p>
        </w:tc>
        <w:tc>
          <w:tcPr>
            <w:tcW w:w="1894" w:type="dxa"/>
          </w:tcPr>
          <w:p w14:paraId="220B60FF" w14:textId="77777777" w:rsidR="00512888" w:rsidRDefault="00512888" w:rsidP="00A15A19">
            <w:pPr>
              <w:widowControl w:val="0"/>
              <w:rPr>
                <w:b/>
              </w:rPr>
            </w:pPr>
            <w:r>
              <w:rPr>
                <w:b/>
              </w:rPr>
              <w:t>PEDAGOGY: Instructional Use of Technology;</w:t>
            </w:r>
          </w:p>
          <w:p w14:paraId="2994CA0A" w14:textId="77777777" w:rsidR="00512888" w:rsidRDefault="00512888" w:rsidP="00A15A19">
            <w:r>
              <w:t>RIPTS 8</w:t>
            </w:r>
          </w:p>
          <w:p w14:paraId="4C17AC56" w14:textId="77777777" w:rsidR="00512888" w:rsidRDefault="00512888" w:rsidP="00A15A19">
            <w:r>
              <w:t>National Educational Technology</w:t>
            </w:r>
          </w:p>
          <w:p w14:paraId="433B3CC1" w14:textId="77777777" w:rsidR="00512888" w:rsidRDefault="00512888" w:rsidP="00A15A19">
            <w:r>
              <w:t>Standards (NETS)</w:t>
            </w:r>
          </w:p>
          <w:p w14:paraId="529685F7" w14:textId="77777777" w:rsidR="00512888" w:rsidRDefault="00512888" w:rsidP="00A15A19">
            <w:pPr>
              <w:spacing w:line="240" w:lineRule="auto"/>
            </w:pPr>
            <w:r>
              <w:rPr>
                <w:b/>
              </w:rPr>
              <w:t xml:space="preserve">TESOL 3c </w:t>
            </w:r>
          </w:p>
        </w:tc>
        <w:tc>
          <w:tcPr>
            <w:tcW w:w="4545" w:type="dxa"/>
          </w:tcPr>
          <w:p w14:paraId="739E2400" w14:textId="77777777" w:rsidR="00512888" w:rsidRDefault="00512888" w:rsidP="00A15A19">
            <w:pPr>
              <w:spacing w:line="240" w:lineRule="auto"/>
            </w:pPr>
            <w:r>
              <w:rPr>
                <w:rFonts w:ascii="Calibri" w:eastAsia="Calibri" w:hAnsi="Calibri" w:cs="Calibri"/>
                <w:b/>
                <w:color w:val="000000"/>
              </w:rPr>
              <w:t>Technologies for ELs.</w:t>
            </w:r>
          </w:p>
        </w:tc>
      </w:tr>
      <w:tr w:rsidR="00512888" w14:paraId="0A804CC8" w14:textId="77777777" w:rsidTr="00512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341" w:type="dxa"/>
          </w:tcPr>
          <w:p w14:paraId="418E9500" w14:textId="77777777" w:rsidR="00512888" w:rsidRDefault="00512888" w:rsidP="00512888">
            <w:pPr>
              <w:numPr>
                <w:ilvl w:val="0"/>
                <w:numId w:val="17"/>
              </w:numPr>
              <w:pBdr>
                <w:top w:val="nil"/>
                <w:left w:val="nil"/>
                <w:bottom w:val="nil"/>
                <w:right w:val="nil"/>
                <w:between w:val="nil"/>
              </w:pBdr>
              <w:spacing w:line="240" w:lineRule="auto"/>
              <w:contextualSpacing/>
            </w:pPr>
            <w:r>
              <w:rPr>
                <w:rFonts w:ascii="Calibri" w:eastAsia="Calibri" w:hAnsi="Calibri" w:cs="Calibri"/>
                <w:color w:val="000000"/>
              </w:rPr>
              <w:t xml:space="preserve">Demonstrate understanding of and growth in cultural proficiency as a special education teacher. </w:t>
            </w:r>
          </w:p>
        </w:tc>
        <w:tc>
          <w:tcPr>
            <w:tcW w:w="1894" w:type="dxa"/>
          </w:tcPr>
          <w:p w14:paraId="15F6E7BC" w14:textId="77777777" w:rsidR="00512888" w:rsidRDefault="00512888" w:rsidP="00A15A19">
            <w:pPr>
              <w:widowControl w:val="0"/>
              <w:rPr>
                <w:b/>
              </w:rPr>
            </w:pPr>
            <w:r>
              <w:rPr>
                <w:b/>
              </w:rPr>
              <w:t>Diversity: Cultural Diversity;</w:t>
            </w:r>
          </w:p>
          <w:p w14:paraId="3C24DCC2" w14:textId="77777777" w:rsidR="00512888" w:rsidRDefault="00512888" w:rsidP="00A15A19">
            <w:pPr>
              <w:widowControl w:val="0"/>
              <w:rPr>
                <w:b/>
              </w:rPr>
            </w:pPr>
            <w:r>
              <w:rPr>
                <w:b/>
              </w:rPr>
              <w:t>PROFESSIONALISM: Professional Ethics; Collaboration and Advocacy</w:t>
            </w:r>
          </w:p>
          <w:p w14:paraId="6D35C090" w14:textId="77777777" w:rsidR="00512888" w:rsidRDefault="00512888" w:rsidP="00A15A19">
            <w:r>
              <w:t xml:space="preserve">RIPTS 7 </w:t>
            </w:r>
          </w:p>
          <w:p w14:paraId="42293618" w14:textId="77777777" w:rsidR="00512888" w:rsidRDefault="00512888" w:rsidP="00A15A19">
            <w:pPr>
              <w:spacing w:line="240" w:lineRule="auto"/>
            </w:pPr>
            <w:r>
              <w:rPr>
                <w:b/>
              </w:rPr>
              <w:t>TESOL 5a, 5b</w:t>
            </w:r>
          </w:p>
        </w:tc>
        <w:tc>
          <w:tcPr>
            <w:tcW w:w="4545" w:type="dxa"/>
          </w:tcPr>
          <w:p w14:paraId="420D1235" w14:textId="77777777" w:rsidR="00512888" w:rsidRDefault="00512888" w:rsidP="00A15A19">
            <w:pPr>
              <w:spacing w:line="240" w:lineRule="auto"/>
            </w:pPr>
            <w:r>
              <w:rPr>
                <w:rFonts w:ascii="Calibri" w:eastAsia="Calibri" w:hAnsi="Calibri" w:cs="Calibri"/>
                <w:b/>
                <w:color w:val="000000"/>
              </w:rPr>
              <w:t>Families from Diverse Backgrounds Project, Family Collaboration Project.</w:t>
            </w:r>
          </w:p>
        </w:tc>
      </w:tr>
      <w:tr w:rsidR="00512888" w14:paraId="397B94DA" w14:textId="77777777" w:rsidTr="00512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341" w:type="dxa"/>
          </w:tcPr>
          <w:p w14:paraId="770E39BE" w14:textId="77777777" w:rsidR="00512888" w:rsidRDefault="00512888" w:rsidP="00512888">
            <w:pPr>
              <w:numPr>
                <w:ilvl w:val="0"/>
                <w:numId w:val="17"/>
              </w:numPr>
              <w:pBdr>
                <w:top w:val="nil"/>
                <w:left w:val="nil"/>
                <w:bottom w:val="nil"/>
                <w:right w:val="nil"/>
                <w:between w:val="nil"/>
              </w:pBdr>
              <w:spacing w:line="240" w:lineRule="auto"/>
              <w:contextualSpacing/>
            </w:pPr>
            <w:r>
              <w:rPr>
                <w:rFonts w:ascii="Calibri" w:eastAsia="Calibri" w:hAnsi="Calibri" w:cs="Calibri"/>
                <w:color w:val="000000"/>
              </w:rPr>
              <w:t xml:space="preserve">Develop the knowledge of IDEA, ESSA, MTSS, RI ELL Regulation, WIDA standards and their implementations. </w:t>
            </w:r>
          </w:p>
        </w:tc>
        <w:tc>
          <w:tcPr>
            <w:tcW w:w="1894" w:type="dxa"/>
          </w:tcPr>
          <w:p w14:paraId="77CA2ADA" w14:textId="77777777" w:rsidR="00512888" w:rsidRDefault="00512888" w:rsidP="00A15A19">
            <w:pPr>
              <w:widowControl w:val="0"/>
              <w:rPr>
                <w:b/>
              </w:rPr>
            </w:pPr>
            <w:r>
              <w:rPr>
                <w:b/>
              </w:rPr>
              <w:t xml:space="preserve">Pedagogy: Assessment &amp; Instruction </w:t>
            </w:r>
          </w:p>
          <w:p w14:paraId="21DADEB7" w14:textId="77777777" w:rsidR="00512888" w:rsidRDefault="00512888" w:rsidP="00A15A19">
            <w:r>
              <w:t>RIPTS 3,4&amp;9</w:t>
            </w:r>
          </w:p>
          <w:p w14:paraId="649ECD26" w14:textId="77777777" w:rsidR="00512888" w:rsidRDefault="00512888" w:rsidP="00A15A19">
            <w:r>
              <w:t>Multi-Tiered System of Support including RTI</w:t>
            </w:r>
          </w:p>
          <w:p w14:paraId="3B310D43" w14:textId="77777777" w:rsidR="00512888" w:rsidRDefault="00512888" w:rsidP="00A15A19">
            <w:pPr>
              <w:spacing w:line="240" w:lineRule="auto"/>
            </w:pPr>
            <w:r>
              <w:rPr>
                <w:b/>
              </w:rPr>
              <w:t>TESOL 3ab, 3b, 3c, 4a, 4b, 4c</w:t>
            </w:r>
          </w:p>
        </w:tc>
        <w:tc>
          <w:tcPr>
            <w:tcW w:w="4545" w:type="dxa"/>
          </w:tcPr>
          <w:p w14:paraId="63D690BD" w14:textId="77777777" w:rsidR="00512888" w:rsidRDefault="00512888" w:rsidP="00A15A19">
            <w:pPr>
              <w:spacing w:line="240" w:lineRule="auto"/>
            </w:pPr>
            <w:r>
              <w:rPr>
                <w:rFonts w:ascii="Calibri" w:eastAsia="Calibri" w:hAnsi="Calibri" w:cs="Calibri"/>
                <w:b/>
                <w:color w:val="000000"/>
              </w:rPr>
              <w:t>Instruction and Assessment Case Study Analysis</w:t>
            </w:r>
          </w:p>
        </w:tc>
      </w:tr>
      <w:tr w:rsidR="00512888" w14:paraId="0DE22306" w14:textId="77777777" w:rsidTr="00512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341" w:type="dxa"/>
          </w:tcPr>
          <w:p w14:paraId="550A4224" w14:textId="77777777" w:rsidR="00512888" w:rsidRDefault="00512888" w:rsidP="00512888">
            <w:pPr>
              <w:numPr>
                <w:ilvl w:val="0"/>
                <w:numId w:val="17"/>
              </w:numPr>
              <w:pBdr>
                <w:top w:val="nil"/>
                <w:left w:val="nil"/>
                <w:bottom w:val="nil"/>
                <w:right w:val="nil"/>
                <w:between w:val="nil"/>
              </w:pBdr>
              <w:spacing w:line="240" w:lineRule="auto"/>
              <w:contextualSpacing/>
            </w:pPr>
            <w:r>
              <w:rPr>
                <w:rFonts w:ascii="Calibri" w:eastAsia="Calibri" w:hAnsi="Calibri" w:cs="Calibri"/>
                <w:color w:val="000000"/>
              </w:rPr>
              <w:t>Develop the commitment to and basic skills in culturally responsive collaboration with diverse families.  </w:t>
            </w:r>
          </w:p>
        </w:tc>
        <w:tc>
          <w:tcPr>
            <w:tcW w:w="1894" w:type="dxa"/>
          </w:tcPr>
          <w:p w14:paraId="05983BD8" w14:textId="77777777" w:rsidR="00512888" w:rsidRDefault="00512888" w:rsidP="00A15A19">
            <w:pPr>
              <w:widowControl w:val="0"/>
              <w:rPr>
                <w:b/>
              </w:rPr>
            </w:pPr>
            <w:r>
              <w:rPr>
                <w:b/>
              </w:rPr>
              <w:t>PROFESSIONALISM: Professional Ethics; Collaboration and Advocacy</w:t>
            </w:r>
          </w:p>
          <w:p w14:paraId="3C3C7C00" w14:textId="77777777" w:rsidR="00512888" w:rsidRDefault="00512888" w:rsidP="00A15A19">
            <w:r>
              <w:t>RIPTS 7</w:t>
            </w:r>
          </w:p>
          <w:p w14:paraId="776DDE1E" w14:textId="77777777" w:rsidR="00512888" w:rsidRDefault="00512888" w:rsidP="00A15A19">
            <w:pPr>
              <w:spacing w:line="240" w:lineRule="auto"/>
            </w:pPr>
            <w:r>
              <w:rPr>
                <w:b/>
              </w:rPr>
              <w:t>TESOL 5b</w:t>
            </w:r>
          </w:p>
        </w:tc>
        <w:tc>
          <w:tcPr>
            <w:tcW w:w="4545" w:type="dxa"/>
          </w:tcPr>
          <w:p w14:paraId="4CEF2819" w14:textId="77777777" w:rsidR="00512888" w:rsidRDefault="00512888" w:rsidP="00A15A19">
            <w:pPr>
              <w:spacing w:line="240" w:lineRule="auto"/>
            </w:pPr>
            <w:r>
              <w:rPr>
                <w:rFonts w:ascii="Calibri" w:eastAsia="Calibri" w:hAnsi="Calibri" w:cs="Calibri"/>
                <w:b/>
                <w:color w:val="000000"/>
              </w:rPr>
              <w:t>Family Collaboration Project</w:t>
            </w:r>
            <w:r>
              <w:rPr>
                <w:rFonts w:ascii="Calibri" w:eastAsia="Calibri" w:hAnsi="Calibri" w:cs="Calibri"/>
                <w:b/>
                <w:color w:val="C00000"/>
              </w:rPr>
              <w:t xml:space="preserve"> </w:t>
            </w:r>
          </w:p>
        </w:tc>
      </w:tr>
    </w:tbl>
    <w:p w14:paraId="1D0335AD" w14:textId="77777777" w:rsidR="00F64260" w:rsidRDefault="00F64260"/>
    <w:p w14:paraId="5432DAF5" w14:textId="77777777" w:rsidR="00512888" w:rsidRDefault="00512888"/>
    <w:p w14:paraId="3E06CA30" w14:textId="77777777" w:rsidR="00512888" w:rsidRDefault="00512888"/>
    <w:p w14:paraId="25875D78" w14:textId="77777777" w:rsidR="00512888" w:rsidRDefault="00512888"/>
    <w:p w14:paraId="551989C0" w14:textId="77777777" w:rsidR="00512888" w:rsidRDefault="00512888"/>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704B1A36" w14:textId="77777777" w:rsidR="00512888" w:rsidRPr="00621C6A" w:rsidRDefault="00512888" w:rsidP="00512888">
            <w:bookmarkStart w:id="26" w:name="outline"/>
            <w:bookmarkEnd w:id="26"/>
            <w:r w:rsidRPr="00621C6A">
              <w:t xml:space="preserve">Topic 1:  Foundations </w:t>
            </w:r>
          </w:p>
          <w:p w14:paraId="0C39784A" w14:textId="77777777" w:rsidR="00512888" w:rsidRPr="00621C6A" w:rsidRDefault="00512888" w:rsidP="00512888">
            <w:pPr>
              <w:pStyle w:val="ListParagraph"/>
              <w:numPr>
                <w:ilvl w:val="0"/>
                <w:numId w:val="18"/>
              </w:numPr>
            </w:pPr>
            <w:r w:rsidRPr="00621C6A">
              <w:t xml:space="preserve">Current Issues in Serving Culturally and Linguistically Diverse (CLD) Students with Disabilities </w:t>
            </w:r>
          </w:p>
          <w:p w14:paraId="13C86D4D" w14:textId="77777777" w:rsidR="00512888" w:rsidRPr="00621C6A" w:rsidRDefault="00512888" w:rsidP="00512888">
            <w:pPr>
              <w:pStyle w:val="ListParagraph"/>
              <w:numPr>
                <w:ilvl w:val="0"/>
                <w:numId w:val="18"/>
              </w:numPr>
            </w:pPr>
            <w:r w:rsidRPr="00621C6A">
              <w:t xml:space="preserve">History and Regulations of Special Education &amp; Bilingual/TESOL Education </w:t>
            </w:r>
          </w:p>
          <w:p w14:paraId="0B15E237" w14:textId="77777777" w:rsidR="00512888" w:rsidRPr="00621C6A" w:rsidRDefault="00512888" w:rsidP="00512888">
            <w:pPr>
              <w:pStyle w:val="ListParagraph"/>
              <w:numPr>
                <w:ilvl w:val="0"/>
                <w:numId w:val="18"/>
              </w:numPr>
            </w:pPr>
            <w:r w:rsidRPr="00621C6A">
              <w:lastRenderedPageBreak/>
              <w:t>The role of culture and language in learning and teaching</w:t>
            </w:r>
          </w:p>
          <w:p w14:paraId="61941725" w14:textId="77777777" w:rsidR="00512888" w:rsidRPr="00621C6A" w:rsidRDefault="00512888" w:rsidP="00512888">
            <w:pPr>
              <w:pStyle w:val="ListParagraph"/>
              <w:numPr>
                <w:ilvl w:val="0"/>
                <w:numId w:val="18"/>
              </w:numPr>
            </w:pPr>
            <w:r w:rsidRPr="00621C6A">
              <w:t xml:space="preserve">Foundations of Bilingual/Multicultural Education </w:t>
            </w:r>
          </w:p>
          <w:p w14:paraId="0948C501" w14:textId="77777777" w:rsidR="00512888" w:rsidRPr="00621C6A" w:rsidRDefault="00512888" w:rsidP="00512888"/>
          <w:p w14:paraId="47BA73AE" w14:textId="77777777" w:rsidR="00512888" w:rsidRPr="00621C6A" w:rsidRDefault="00512888" w:rsidP="00512888">
            <w:r w:rsidRPr="00621C6A">
              <w:t xml:space="preserve">Topic 2: Cultural Proficiency </w:t>
            </w:r>
          </w:p>
          <w:p w14:paraId="56F4BC84" w14:textId="77777777" w:rsidR="00512888" w:rsidRPr="00621C6A" w:rsidRDefault="00512888" w:rsidP="00512888">
            <w:pPr>
              <w:pStyle w:val="ListParagraph"/>
              <w:numPr>
                <w:ilvl w:val="0"/>
                <w:numId w:val="19"/>
              </w:numPr>
            </w:pPr>
            <w:r w:rsidRPr="00621C6A">
              <w:t>What is cultural proficiency</w:t>
            </w:r>
          </w:p>
          <w:p w14:paraId="05F0F9C9" w14:textId="77777777" w:rsidR="00512888" w:rsidRPr="00621C6A" w:rsidRDefault="00512888" w:rsidP="00512888">
            <w:pPr>
              <w:pStyle w:val="ListParagraph"/>
              <w:numPr>
                <w:ilvl w:val="0"/>
                <w:numId w:val="19"/>
              </w:numPr>
            </w:pPr>
            <w:r w:rsidRPr="00621C6A">
              <w:t>Five Cultural standards</w:t>
            </w:r>
          </w:p>
          <w:p w14:paraId="08AB41BB" w14:textId="77777777" w:rsidR="00512888" w:rsidRPr="00621C6A" w:rsidRDefault="00512888" w:rsidP="00512888">
            <w:pPr>
              <w:pStyle w:val="ListParagraph"/>
              <w:numPr>
                <w:ilvl w:val="0"/>
                <w:numId w:val="19"/>
              </w:numPr>
            </w:pPr>
            <w:r>
              <w:t>The Cultural Proficiency</w:t>
            </w:r>
            <w:r w:rsidRPr="00621C6A">
              <w:t xml:space="preserve"> guiding principles</w:t>
            </w:r>
          </w:p>
          <w:p w14:paraId="2D054EC5" w14:textId="77777777" w:rsidR="00512888" w:rsidRPr="00621C6A" w:rsidRDefault="00512888" w:rsidP="00512888">
            <w:pPr>
              <w:pStyle w:val="ListParagraph"/>
              <w:numPr>
                <w:ilvl w:val="0"/>
                <w:numId w:val="19"/>
              </w:numPr>
            </w:pPr>
            <w:r w:rsidRPr="00621C6A">
              <w:t xml:space="preserve">Barriers to cultural proficiency </w:t>
            </w:r>
          </w:p>
          <w:p w14:paraId="3FAB9902" w14:textId="77777777" w:rsidR="00512888" w:rsidRPr="00621C6A" w:rsidRDefault="00512888" w:rsidP="00512888">
            <w:pPr>
              <w:pStyle w:val="ListParagraph"/>
              <w:numPr>
                <w:ilvl w:val="0"/>
                <w:numId w:val="19"/>
              </w:numPr>
            </w:pPr>
            <w:r>
              <w:t>The cultural proficiency</w:t>
            </w:r>
            <w:r w:rsidRPr="00621C6A">
              <w:t xml:space="preserve"> continuum</w:t>
            </w:r>
          </w:p>
          <w:p w14:paraId="3519B978" w14:textId="77777777" w:rsidR="00512888" w:rsidRPr="00621C6A" w:rsidRDefault="00512888" w:rsidP="00512888"/>
          <w:p w14:paraId="36ECFEF8" w14:textId="77777777" w:rsidR="00512888" w:rsidRPr="00621C6A" w:rsidRDefault="00512888" w:rsidP="00512888">
            <w:r w:rsidRPr="00621C6A">
              <w:t xml:space="preserve">Topic 3: Families from Different Cultural Backgrounds: </w:t>
            </w:r>
          </w:p>
          <w:p w14:paraId="3CFE49C9" w14:textId="77777777" w:rsidR="00512888" w:rsidRPr="00621C6A" w:rsidRDefault="00512888" w:rsidP="00512888">
            <w:pPr>
              <w:pStyle w:val="ListParagraph"/>
              <w:numPr>
                <w:ilvl w:val="0"/>
                <w:numId w:val="20"/>
              </w:numPr>
            </w:pPr>
            <w:r w:rsidRPr="00621C6A">
              <w:t xml:space="preserve">Understanding Cross-Cultural Practices (part I): Impact of religious backgrounds </w:t>
            </w:r>
          </w:p>
          <w:p w14:paraId="026167C2" w14:textId="77777777" w:rsidR="00512888" w:rsidRPr="00621C6A" w:rsidRDefault="00512888" w:rsidP="00512888">
            <w:pPr>
              <w:pStyle w:val="ListParagraph"/>
              <w:numPr>
                <w:ilvl w:val="0"/>
                <w:numId w:val="20"/>
              </w:numPr>
            </w:pPr>
            <w:r w:rsidRPr="00621C6A">
              <w:t xml:space="preserve">Understanding Cross-Cultural Practices (part II): Anglo, African, Hispanic </w:t>
            </w:r>
          </w:p>
          <w:p w14:paraId="6DD638BE" w14:textId="77777777" w:rsidR="00512888" w:rsidRPr="00621C6A" w:rsidRDefault="00512888" w:rsidP="00512888">
            <w:pPr>
              <w:pStyle w:val="ListParagraph"/>
              <w:numPr>
                <w:ilvl w:val="0"/>
                <w:numId w:val="20"/>
              </w:numPr>
            </w:pPr>
            <w:r w:rsidRPr="00621C6A">
              <w:t>Understanding Cross-Cultural Practices (part II</w:t>
            </w:r>
            <w:r>
              <w:t>I</w:t>
            </w:r>
            <w:r w:rsidRPr="00621C6A">
              <w:t xml:space="preserve">): Asian, Native American, Pacific Island, Middle Eastern </w:t>
            </w:r>
          </w:p>
          <w:p w14:paraId="4E4BC4DD" w14:textId="77777777" w:rsidR="00512888" w:rsidRPr="00621C6A" w:rsidRDefault="00512888" w:rsidP="00512888"/>
          <w:p w14:paraId="4BCC3C29" w14:textId="77777777" w:rsidR="00512888" w:rsidRPr="00621C6A" w:rsidRDefault="00512888" w:rsidP="00512888">
            <w:r w:rsidRPr="00621C6A">
              <w:t xml:space="preserve">Topic 4:  Bilingual and Second Language Learning  </w:t>
            </w:r>
          </w:p>
          <w:p w14:paraId="752CBD9E" w14:textId="77777777" w:rsidR="00512888" w:rsidRPr="00621C6A" w:rsidRDefault="00512888" w:rsidP="00512888">
            <w:pPr>
              <w:pStyle w:val="ListParagraph"/>
              <w:numPr>
                <w:ilvl w:val="0"/>
                <w:numId w:val="21"/>
              </w:numPr>
            </w:pPr>
            <w:r w:rsidRPr="00621C6A">
              <w:t xml:space="preserve">First Language Development </w:t>
            </w:r>
          </w:p>
          <w:p w14:paraId="5073569A" w14:textId="77777777" w:rsidR="00512888" w:rsidRPr="00621C6A" w:rsidRDefault="00512888" w:rsidP="00512888">
            <w:pPr>
              <w:pStyle w:val="ListParagraph"/>
              <w:numPr>
                <w:ilvl w:val="0"/>
                <w:numId w:val="21"/>
              </w:numPr>
            </w:pPr>
            <w:r w:rsidRPr="00621C6A">
              <w:t xml:space="preserve">Second Language Acquisition </w:t>
            </w:r>
          </w:p>
          <w:p w14:paraId="73CE23B0" w14:textId="77777777" w:rsidR="00512888" w:rsidRPr="00621C6A" w:rsidRDefault="00512888" w:rsidP="00512888">
            <w:pPr>
              <w:pStyle w:val="ListParagraph"/>
              <w:numPr>
                <w:ilvl w:val="0"/>
                <w:numId w:val="21"/>
              </w:numPr>
            </w:pPr>
            <w:r w:rsidRPr="00621C6A">
              <w:t>Language Program Models</w:t>
            </w:r>
          </w:p>
          <w:p w14:paraId="463C1DA9" w14:textId="77777777" w:rsidR="00512888" w:rsidRPr="00621C6A" w:rsidRDefault="00512888" w:rsidP="00512888"/>
          <w:p w14:paraId="0B4AA6A7" w14:textId="77777777" w:rsidR="00512888" w:rsidRPr="00621C6A" w:rsidRDefault="00512888" w:rsidP="00512888">
            <w:r w:rsidRPr="00621C6A">
              <w:t>Topic 4: Assessment of ELs,</w:t>
            </w:r>
          </w:p>
          <w:p w14:paraId="49E8085E" w14:textId="77777777" w:rsidR="00512888" w:rsidRPr="00621C6A" w:rsidRDefault="00512888" w:rsidP="00512888">
            <w:pPr>
              <w:pStyle w:val="ListParagraph"/>
              <w:numPr>
                <w:ilvl w:val="0"/>
                <w:numId w:val="22"/>
              </w:numPr>
            </w:pPr>
            <w:r w:rsidRPr="00621C6A">
              <w:t>Regulations</w:t>
            </w:r>
          </w:p>
          <w:p w14:paraId="6595E4B9" w14:textId="77777777" w:rsidR="00512888" w:rsidRPr="00621C6A" w:rsidRDefault="00512888" w:rsidP="00512888">
            <w:pPr>
              <w:pStyle w:val="ListParagraph"/>
              <w:numPr>
                <w:ilvl w:val="0"/>
                <w:numId w:val="22"/>
              </w:numPr>
            </w:pPr>
            <w:r w:rsidRPr="00621C6A">
              <w:t>EL Identification</w:t>
            </w:r>
          </w:p>
          <w:p w14:paraId="42748099" w14:textId="77777777" w:rsidR="00512888" w:rsidRPr="00621C6A" w:rsidRDefault="00512888" w:rsidP="00512888">
            <w:pPr>
              <w:pStyle w:val="ListParagraph"/>
              <w:numPr>
                <w:ilvl w:val="0"/>
                <w:numId w:val="22"/>
              </w:numPr>
            </w:pPr>
            <w:r>
              <w:t>MTSS for EL</w:t>
            </w:r>
            <w:r w:rsidRPr="00621C6A">
              <w:t>s</w:t>
            </w:r>
          </w:p>
          <w:p w14:paraId="0A763CEF" w14:textId="77777777" w:rsidR="00512888" w:rsidRPr="00621C6A" w:rsidRDefault="00512888" w:rsidP="00512888">
            <w:pPr>
              <w:pStyle w:val="ListParagraph"/>
              <w:numPr>
                <w:ilvl w:val="0"/>
                <w:numId w:val="22"/>
              </w:numPr>
            </w:pPr>
            <w:r w:rsidRPr="00621C6A">
              <w:t>ELs and students with disabilities</w:t>
            </w:r>
          </w:p>
          <w:p w14:paraId="750C5E02" w14:textId="77777777" w:rsidR="00512888" w:rsidRDefault="00512888" w:rsidP="00512888">
            <w:pPr>
              <w:pStyle w:val="ListParagraph"/>
              <w:numPr>
                <w:ilvl w:val="0"/>
                <w:numId w:val="22"/>
              </w:numPr>
            </w:pPr>
            <w:r w:rsidRPr="00621C6A">
              <w:t>Foundational principles and principles on ecologically valid assessment for Els</w:t>
            </w:r>
          </w:p>
          <w:p w14:paraId="767F73FA" w14:textId="77777777" w:rsidR="00512888" w:rsidRPr="00621C6A" w:rsidRDefault="00512888" w:rsidP="00512888">
            <w:pPr>
              <w:pStyle w:val="ListParagraph"/>
              <w:ind w:left="648"/>
            </w:pPr>
          </w:p>
          <w:p w14:paraId="12912466" w14:textId="77777777" w:rsidR="00512888" w:rsidRPr="00621C6A" w:rsidRDefault="00512888" w:rsidP="00512888">
            <w:r w:rsidRPr="00621C6A">
              <w:t xml:space="preserve">Topic 5: Program and Instruction </w:t>
            </w:r>
          </w:p>
          <w:p w14:paraId="652E2A27" w14:textId="77777777" w:rsidR="00512888" w:rsidRPr="00621C6A" w:rsidRDefault="00512888" w:rsidP="00512888">
            <w:pPr>
              <w:pStyle w:val="ListParagraph"/>
              <w:numPr>
                <w:ilvl w:val="0"/>
                <w:numId w:val="23"/>
              </w:numPr>
            </w:pPr>
            <w:r w:rsidRPr="00621C6A">
              <w:t>Continuum of Educational Programs/Services</w:t>
            </w:r>
          </w:p>
          <w:p w14:paraId="371416D9" w14:textId="77777777" w:rsidR="00512888" w:rsidRPr="00621C6A" w:rsidRDefault="00512888" w:rsidP="00512888">
            <w:pPr>
              <w:pStyle w:val="ListParagraph"/>
              <w:numPr>
                <w:ilvl w:val="0"/>
                <w:numId w:val="23"/>
              </w:numPr>
            </w:pPr>
            <w:r w:rsidRPr="00621C6A">
              <w:t xml:space="preserve">Consideration in Language Planning During RTI &amp; IEP Process </w:t>
            </w:r>
          </w:p>
          <w:p w14:paraId="18BD6644" w14:textId="77777777" w:rsidR="00512888" w:rsidRPr="00621C6A" w:rsidRDefault="00512888" w:rsidP="00512888">
            <w:pPr>
              <w:pStyle w:val="ListParagraph"/>
              <w:numPr>
                <w:ilvl w:val="0"/>
                <w:numId w:val="23"/>
              </w:numPr>
            </w:pPr>
            <w:r w:rsidRPr="00621C6A">
              <w:t>Culturally and Linguistically Responsive Curriculum &amp; Instruction</w:t>
            </w:r>
          </w:p>
          <w:p w14:paraId="3508F39A" w14:textId="77777777" w:rsidR="00512888" w:rsidRPr="00621C6A" w:rsidRDefault="00512888" w:rsidP="00512888">
            <w:pPr>
              <w:pStyle w:val="ListParagraph"/>
              <w:numPr>
                <w:ilvl w:val="0"/>
                <w:numId w:val="23"/>
              </w:numPr>
            </w:pPr>
            <w:r w:rsidRPr="00621C6A">
              <w:t>Language Consideration in Curriculum/Material Selection and Adaptation</w:t>
            </w:r>
          </w:p>
          <w:p w14:paraId="33763DED" w14:textId="77777777" w:rsidR="00512888" w:rsidRPr="00621C6A" w:rsidRDefault="00512888" w:rsidP="00512888">
            <w:pPr>
              <w:pStyle w:val="ListParagraph"/>
              <w:numPr>
                <w:ilvl w:val="0"/>
                <w:numId w:val="23"/>
              </w:numPr>
            </w:pPr>
            <w:r w:rsidRPr="00621C6A">
              <w:t xml:space="preserve">Technologies for ELs </w:t>
            </w:r>
          </w:p>
          <w:p w14:paraId="5A3284EA" w14:textId="77777777" w:rsidR="00512888" w:rsidRPr="00621C6A" w:rsidRDefault="00512888" w:rsidP="00512888">
            <w:pPr>
              <w:pStyle w:val="ListParagraph"/>
              <w:numPr>
                <w:ilvl w:val="0"/>
                <w:numId w:val="23"/>
              </w:numPr>
            </w:pPr>
            <w:r w:rsidRPr="00621C6A">
              <w:t>Culturally and Linguistically Responsive Pedagogies, Practical Strategies</w:t>
            </w:r>
          </w:p>
          <w:p w14:paraId="6B2C7A47" w14:textId="5F21DA59" w:rsidR="00115A68" w:rsidRDefault="00512888" w:rsidP="00512888">
            <w:pPr>
              <w:spacing w:line="240" w:lineRule="auto"/>
            </w:pPr>
            <w:r w:rsidRPr="00621C6A">
              <w:t>Building Culturally and Linguistically Responsive Schools</w:t>
            </w:r>
          </w:p>
        </w:tc>
      </w:tr>
    </w:tbl>
    <w:p w14:paraId="48B1CD32" w14:textId="77777777" w:rsidR="00F64260" w:rsidRDefault="00F64260">
      <w:pPr>
        <w:spacing w:line="240" w:lineRule="auto"/>
      </w:pPr>
      <w:r>
        <w:lastRenderedPageBreak/>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2"/>
        <w:gridCol w:w="3251"/>
        <w:gridCol w:w="3186"/>
        <w:gridCol w:w="1161"/>
      </w:tblGrid>
      <w:tr w:rsidR="00B7207F" w:rsidRPr="00402602" w14:paraId="423EA801" w14:textId="77777777" w:rsidTr="00B7207F">
        <w:trPr>
          <w:cantSplit/>
          <w:tblHeader/>
        </w:trPr>
        <w:tc>
          <w:tcPr>
            <w:tcW w:w="3182" w:type="dxa"/>
            <w:vAlign w:val="center"/>
          </w:tcPr>
          <w:p w14:paraId="7F71223A" w14:textId="77777777" w:rsidR="00B7207F" w:rsidRPr="00A83A6C" w:rsidRDefault="00B7207F" w:rsidP="001D52FE">
            <w:pPr>
              <w:pStyle w:val="Heading5"/>
              <w:jc w:val="center"/>
            </w:pPr>
            <w:r w:rsidRPr="00A83A6C">
              <w:t>Name</w:t>
            </w:r>
          </w:p>
        </w:tc>
        <w:tc>
          <w:tcPr>
            <w:tcW w:w="3251" w:type="dxa"/>
            <w:vAlign w:val="center"/>
          </w:tcPr>
          <w:p w14:paraId="323B06DA" w14:textId="77777777" w:rsidR="00B7207F" w:rsidRPr="00A83A6C" w:rsidRDefault="00B7207F" w:rsidP="001D52FE">
            <w:pPr>
              <w:pStyle w:val="Heading5"/>
              <w:jc w:val="center"/>
            </w:pPr>
            <w:r w:rsidRPr="00A83A6C">
              <w:t>Position/affiliation</w:t>
            </w:r>
          </w:p>
        </w:tc>
        <w:tc>
          <w:tcPr>
            <w:tcW w:w="3186" w:type="dxa"/>
            <w:vAlign w:val="center"/>
          </w:tcPr>
          <w:p w14:paraId="1D82B5BC" w14:textId="77777777" w:rsidR="00B7207F" w:rsidRPr="00A83A6C" w:rsidRDefault="004663A8" w:rsidP="001D52FE">
            <w:pPr>
              <w:pStyle w:val="Heading5"/>
              <w:jc w:val="center"/>
            </w:pPr>
            <w:hyperlink w:anchor="_Signature" w:tooltip="Insert electronic signature, if available, in this column" w:history="1">
              <w:r w:rsidR="00B7207F" w:rsidRPr="00A87611">
                <w:rPr>
                  <w:rStyle w:val="Hyperlink"/>
                </w:rPr>
                <w:t>Signature</w:t>
              </w:r>
            </w:hyperlink>
          </w:p>
        </w:tc>
        <w:tc>
          <w:tcPr>
            <w:tcW w:w="1161" w:type="dxa"/>
            <w:vAlign w:val="center"/>
          </w:tcPr>
          <w:p w14:paraId="3A82AD49" w14:textId="77777777" w:rsidR="00B7207F" w:rsidRPr="00A83A6C" w:rsidRDefault="00B7207F" w:rsidP="001D52FE">
            <w:pPr>
              <w:pStyle w:val="Heading5"/>
              <w:jc w:val="center"/>
            </w:pPr>
            <w:r w:rsidRPr="00A83A6C">
              <w:t>Date</w:t>
            </w:r>
          </w:p>
        </w:tc>
      </w:tr>
      <w:tr w:rsidR="00B7207F" w14:paraId="04989B09" w14:textId="77777777" w:rsidTr="00B7207F">
        <w:trPr>
          <w:cantSplit/>
          <w:trHeight w:val="489"/>
        </w:trPr>
        <w:tc>
          <w:tcPr>
            <w:tcW w:w="3182" w:type="dxa"/>
            <w:vAlign w:val="center"/>
          </w:tcPr>
          <w:p w14:paraId="7810FFE6" w14:textId="77777777" w:rsidR="00B7207F" w:rsidRDefault="00B7207F" w:rsidP="001D52FE">
            <w:pPr>
              <w:spacing w:line="240" w:lineRule="auto"/>
            </w:pPr>
            <w:r>
              <w:t>Cara McDermott-</w:t>
            </w:r>
            <w:proofErr w:type="spellStart"/>
            <w:r>
              <w:t>Fasy</w:t>
            </w:r>
            <w:proofErr w:type="spellEnd"/>
          </w:p>
        </w:tc>
        <w:tc>
          <w:tcPr>
            <w:tcW w:w="3251" w:type="dxa"/>
            <w:vAlign w:val="center"/>
          </w:tcPr>
          <w:p w14:paraId="3F3600C2" w14:textId="77777777" w:rsidR="00B7207F" w:rsidRDefault="00B7207F" w:rsidP="001D52FE">
            <w:pPr>
              <w:spacing w:line="240" w:lineRule="auto"/>
            </w:pPr>
            <w:r>
              <w:t>Program Director of Elementary and Special Education Mild/Moderate B.S Program</w:t>
            </w:r>
          </w:p>
        </w:tc>
        <w:tc>
          <w:tcPr>
            <w:tcW w:w="3186" w:type="dxa"/>
            <w:vAlign w:val="center"/>
          </w:tcPr>
          <w:p w14:paraId="15C7E307" w14:textId="77777777" w:rsidR="00B7207F" w:rsidRDefault="00B7207F" w:rsidP="001D52FE">
            <w:pPr>
              <w:spacing w:line="240" w:lineRule="auto"/>
            </w:pPr>
          </w:p>
        </w:tc>
        <w:tc>
          <w:tcPr>
            <w:tcW w:w="1161" w:type="dxa"/>
            <w:vAlign w:val="center"/>
          </w:tcPr>
          <w:p w14:paraId="305D4123" w14:textId="77777777" w:rsidR="00B7207F" w:rsidRDefault="00B7207F" w:rsidP="001D52FE">
            <w:pPr>
              <w:spacing w:line="240" w:lineRule="auto"/>
            </w:pPr>
          </w:p>
        </w:tc>
      </w:tr>
      <w:tr w:rsidR="00B7207F" w14:paraId="0975166D" w14:textId="77777777" w:rsidTr="00B7207F">
        <w:trPr>
          <w:cantSplit/>
          <w:trHeight w:val="489"/>
        </w:trPr>
        <w:tc>
          <w:tcPr>
            <w:tcW w:w="3182" w:type="dxa"/>
            <w:vAlign w:val="center"/>
          </w:tcPr>
          <w:p w14:paraId="6D804809" w14:textId="77777777" w:rsidR="00B7207F" w:rsidRDefault="00B7207F" w:rsidP="001D52FE">
            <w:pPr>
              <w:spacing w:line="240" w:lineRule="auto"/>
            </w:pPr>
            <w:r>
              <w:t>Sue Dell</w:t>
            </w:r>
          </w:p>
        </w:tc>
        <w:tc>
          <w:tcPr>
            <w:tcW w:w="3251" w:type="dxa"/>
            <w:vAlign w:val="center"/>
          </w:tcPr>
          <w:p w14:paraId="6D588212" w14:textId="285F0E33" w:rsidR="00B7207F" w:rsidRDefault="00D04944" w:rsidP="001D52FE">
            <w:pPr>
              <w:spacing w:line="240" w:lineRule="auto"/>
            </w:pPr>
            <w:r>
              <w:t xml:space="preserve">Program Director of </w:t>
            </w:r>
            <w:r w:rsidR="00B7207F">
              <w:t xml:space="preserve">Special Education Severe Intellectual </w:t>
            </w:r>
            <w:proofErr w:type="gramStart"/>
            <w:r w:rsidR="00B7207F">
              <w:t>Disorders  B.S</w:t>
            </w:r>
            <w:proofErr w:type="gramEnd"/>
            <w:r w:rsidR="00B7207F">
              <w:t xml:space="preserve"> Program</w:t>
            </w:r>
          </w:p>
        </w:tc>
        <w:tc>
          <w:tcPr>
            <w:tcW w:w="3186" w:type="dxa"/>
            <w:vAlign w:val="center"/>
          </w:tcPr>
          <w:p w14:paraId="7782CFAB" w14:textId="77777777" w:rsidR="00B7207F" w:rsidRDefault="00B7207F" w:rsidP="001D52FE">
            <w:pPr>
              <w:spacing w:line="240" w:lineRule="auto"/>
            </w:pPr>
          </w:p>
        </w:tc>
        <w:tc>
          <w:tcPr>
            <w:tcW w:w="1161" w:type="dxa"/>
            <w:vAlign w:val="center"/>
          </w:tcPr>
          <w:p w14:paraId="7065B8F2" w14:textId="77777777" w:rsidR="00B7207F" w:rsidRDefault="00B7207F" w:rsidP="001D52FE">
            <w:pPr>
              <w:spacing w:line="240" w:lineRule="auto"/>
            </w:pPr>
          </w:p>
        </w:tc>
      </w:tr>
      <w:tr w:rsidR="00B7207F" w14:paraId="3EA2D30A" w14:textId="77777777" w:rsidTr="00B7207F">
        <w:trPr>
          <w:cantSplit/>
          <w:trHeight w:val="489"/>
        </w:trPr>
        <w:tc>
          <w:tcPr>
            <w:tcW w:w="3182" w:type="dxa"/>
            <w:vAlign w:val="center"/>
          </w:tcPr>
          <w:p w14:paraId="6BEA0679" w14:textId="77777777" w:rsidR="00B7207F" w:rsidRDefault="00B7207F" w:rsidP="001D52FE">
            <w:pPr>
              <w:spacing w:line="240" w:lineRule="auto"/>
            </w:pPr>
            <w:r>
              <w:t xml:space="preserve">Ying Hui-Michael </w:t>
            </w:r>
          </w:p>
        </w:tc>
        <w:tc>
          <w:tcPr>
            <w:tcW w:w="3251" w:type="dxa"/>
            <w:vAlign w:val="center"/>
          </w:tcPr>
          <w:p w14:paraId="0C07369D" w14:textId="77777777" w:rsidR="00B7207F" w:rsidRDefault="00B7207F" w:rsidP="001D52FE">
            <w:pPr>
              <w:spacing w:line="240" w:lineRule="auto"/>
            </w:pPr>
            <w:r>
              <w:t xml:space="preserve">Chair of Special Education Department </w:t>
            </w:r>
          </w:p>
        </w:tc>
        <w:tc>
          <w:tcPr>
            <w:tcW w:w="3186" w:type="dxa"/>
            <w:vAlign w:val="center"/>
          </w:tcPr>
          <w:p w14:paraId="0BC6D2D2" w14:textId="77777777" w:rsidR="00B7207F" w:rsidRDefault="00B7207F" w:rsidP="001D52FE">
            <w:pPr>
              <w:spacing w:line="240" w:lineRule="auto"/>
            </w:pPr>
          </w:p>
        </w:tc>
        <w:tc>
          <w:tcPr>
            <w:tcW w:w="1161" w:type="dxa"/>
            <w:vAlign w:val="center"/>
          </w:tcPr>
          <w:p w14:paraId="65927517" w14:textId="77777777" w:rsidR="00B7207F" w:rsidRDefault="00B7207F" w:rsidP="001D52FE">
            <w:pPr>
              <w:spacing w:line="240" w:lineRule="auto"/>
            </w:pPr>
          </w:p>
        </w:tc>
      </w:tr>
      <w:tr w:rsidR="00B7207F" w14:paraId="21E90700" w14:textId="77777777" w:rsidTr="00B7207F">
        <w:trPr>
          <w:cantSplit/>
          <w:trHeight w:val="489"/>
        </w:trPr>
        <w:tc>
          <w:tcPr>
            <w:tcW w:w="3182" w:type="dxa"/>
            <w:vAlign w:val="center"/>
          </w:tcPr>
          <w:p w14:paraId="0786FEC1" w14:textId="77777777" w:rsidR="00B7207F" w:rsidRDefault="00B7207F" w:rsidP="001D52FE">
            <w:pPr>
              <w:spacing w:line="240" w:lineRule="auto"/>
            </w:pPr>
            <w:r>
              <w:t xml:space="preserve">Carolyn </w:t>
            </w:r>
            <w:proofErr w:type="spellStart"/>
            <w:r>
              <w:t>Obel-Omia</w:t>
            </w:r>
            <w:proofErr w:type="spellEnd"/>
          </w:p>
        </w:tc>
        <w:tc>
          <w:tcPr>
            <w:tcW w:w="3251" w:type="dxa"/>
            <w:vAlign w:val="center"/>
          </w:tcPr>
          <w:p w14:paraId="60E7D69A" w14:textId="77777777" w:rsidR="00B7207F" w:rsidRDefault="00B7207F" w:rsidP="001D52FE">
            <w:pPr>
              <w:spacing w:line="240" w:lineRule="auto"/>
            </w:pPr>
            <w:r>
              <w:t xml:space="preserve">Chair of Elementary Education Department </w:t>
            </w:r>
          </w:p>
        </w:tc>
        <w:tc>
          <w:tcPr>
            <w:tcW w:w="3186" w:type="dxa"/>
            <w:vAlign w:val="center"/>
          </w:tcPr>
          <w:p w14:paraId="3920BD65" w14:textId="77777777" w:rsidR="00B7207F" w:rsidRDefault="00B7207F" w:rsidP="001D52FE">
            <w:pPr>
              <w:spacing w:line="240" w:lineRule="auto"/>
            </w:pPr>
          </w:p>
        </w:tc>
        <w:tc>
          <w:tcPr>
            <w:tcW w:w="1161" w:type="dxa"/>
            <w:vAlign w:val="center"/>
          </w:tcPr>
          <w:p w14:paraId="380E914D" w14:textId="77777777" w:rsidR="00B7207F" w:rsidRDefault="00B7207F" w:rsidP="001D52FE">
            <w:pPr>
              <w:spacing w:line="240" w:lineRule="auto"/>
            </w:pPr>
          </w:p>
        </w:tc>
      </w:tr>
      <w:tr w:rsidR="00B7207F" w14:paraId="1B8508D4" w14:textId="77777777" w:rsidTr="00B7207F">
        <w:trPr>
          <w:cantSplit/>
          <w:trHeight w:val="489"/>
        </w:trPr>
        <w:tc>
          <w:tcPr>
            <w:tcW w:w="3182" w:type="dxa"/>
            <w:vAlign w:val="center"/>
          </w:tcPr>
          <w:p w14:paraId="03BE3E2E" w14:textId="77777777" w:rsidR="00B7207F" w:rsidRDefault="00B7207F" w:rsidP="001D52FE">
            <w:pPr>
              <w:spacing w:line="240" w:lineRule="auto"/>
            </w:pPr>
            <w:r>
              <w:t>Gerri August/Julie Horwitz</w:t>
            </w:r>
          </w:p>
        </w:tc>
        <w:tc>
          <w:tcPr>
            <w:tcW w:w="3251" w:type="dxa"/>
            <w:vAlign w:val="center"/>
          </w:tcPr>
          <w:p w14:paraId="34642083" w14:textId="77777777" w:rsidR="00B7207F" w:rsidRDefault="00B7207F" w:rsidP="001D52FE">
            <w:pPr>
              <w:spacing w:line="240" w:lineRule="auto"/>
            </w:pPr>
            <w:r>
              <w:t xml:space="preserve">Dean of Feinstein School of Education and Human Development </w:t>
            </w:r>
          </w:p>
        </w:tc>
        <w:tc>
          <w:tcPr>
            <w:tcW w:w="3186" w:type="dxa"/>
            <w:vAlign w:val="center"/>
          </w:tcPr>
          <w:p w14:paraId="0040051B" w14:textId="77777777" w:rsidR="00B7207F" w:rsidRDefault="00B7207F" w:rsidP="001D52FE">
            <w:pPr>
              <w:spacing w:line="240" w:lineRule="auto"/>
            </w:pPr>
          </w:p>
        </w:tc>
        <w:tc>
          <w:tcPr>
            <w:tcW w:w="1161" w:type="dxa"/>
            <w:vAlign w:val="center"/>
          </w:tcPr>
          <w:p w14:paraId="3310832C" w14:textId="45D61BE0" w:rsidR="00B7207F" w:rsidRDefault="00B7207F" w:rsidP="001D52FE">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7" w:name="acknowledge"/>
        <w:bookmarkEnd w:id="27"/>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4663A8"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8" w:name="Signature_2"/>
            <w:bookmarkEnd w:id="28"/>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35076E98"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1F478" w14:textId="77777777" w:rsidR="004663A8" w:rsidRDefault="004663A8" w:rsidP="00FA78CA">
      <w:pPr>
        <w:spacing w:line="240" w:lineRule="auto"/>
      </w:pPr>
      <w:r>
        <w:separator/>
      </w:r>
    </w:p>
  </w:endnote>
  <w:endnote w:type="continuationSeparator" w:id="0">
    <w:p w14:paraId="35BDFC53" w14:textId="77777777" w:rsidR="004663A8" w:rsidRDefault="004663A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8C6EC3">
      <w:rPr>
        <w:b/>
        <w:bCs/>
        <w:noProof/>
        <w:sz w:val="20"/>
      </w:rPr>
      <w:t>7</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8C6EC3">
      <w:rPr>
        <w:b/>
        <w:bCs/>
        <w:noProof/>
        <w:sz w:val="20"/>
      </w:rPr>
      <w:t>7</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1E7BD" w14:textId="77777777" w:rsidR="004663A8" w:rsidRDefault="004663A8" w:rsidP="00FA78CA">
      <w:pPr>
        <w:spacing w:line="240" w:lineRule="auto"/>
      </w:pPr>
      <w:r>
        <w:separator/>
      </w:r>
    </w:p>
  </w:footnote>
  <w:footnote w:type="continuationSeparator" w:id="0">
    <w:p w14:paraId="0979EF3D" w14:textId="77777777" w:rsidR="004663A8" w:rsidRDefault="004663A8"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379903DA"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246950">
      <w:rPr>
        <w:color w:val="4F6228"/>
      </w:rPr>
      <w:t>18-19-012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246950">
      <w:rPr>
        <w:color w:val="4F6228"/>
      </w:rPr>
      <w:t>10/25/2018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2652"/>
    <w:multiLevelType w:val="multilevel"/>
    <w:tmpl w:val="110EADE8"/>
    <w:lvl w:ilvl="0">
      <w:start w:val="1"/>
      <w:numFmt w:val="decimal"/>
      <w:lvlText w:val="%1."/>
      <w:lvlJc w:val="left"/>
      <w:pPr>
        <w:ind w:left="648" w:hanging="360"/>
      </w:pPr>
    </w:lvl>
    <w:lvl w:ilvl="1">
      <w:start w:val="1"/>
      <w:numFmt w:val="decimal"/>
      <w:lvlText w:val="%2."/>
      <w:lvlJc w:val="left"/>
      <w:pPr>
        <w:ind w:left="1008" w:hanging="360"/>
      </w:pPr>
      <w:rPr>
        <w:rFonts w:hint="default"/>
      </w:rPr>
    </w:lvl>
    <w:lvl w:ilvl="2">
      <w:start w:val="1"/>
      <w:numFmt w:val="lowerRoman"/>
      <w:lvlText w:val="%3)"/>
      <w:lvlJc w:val="left"/>
      <w:pPr>
        <w:ind w:left="1368" w:hanging="360"/>
      </w:pPr>
    </w:lvl>
    <w:lvl w:ilvl="3">
      <w:start w:val="1"/>
      <w:numFmt w:val="decimal"/>
      <w:lvlText w:val="(%4)"/>
      <w:lvlJc w:val="left"/>
      <w:pPr>
        <w:ind w:left="1728" w:hanging="360"/>
      </w:pPr>
    </w:lvl>
    <w:lvl w:ilvl="4">
      <w:start w:val="1"/>
      <w:numFmt w:val="lowerLetter"/>
      <w:lvlText w:val="(%5)"/>
      <w:lvlJc w:val="left"/>
      <w:pPr>
        <w:ind w:left="2088" w:hanging="360"/>
      </w:pPr>
    </w:lvl>
    <w:lvl w:ilvl="5">
      <w:start w:val="1"/>
      <w:numFmt w:val="lowerRoman"/>
      <w:lvlText w:val="(%6)"/>
      <w:lvlJc w:val="left"/>
      <w:pPr>
        <w:ind w:left="2448" w:hanging="360"/>
      </w:pPr>
    </w:lvl>
    <w:lvl w:ilvl="6">
      <w:start w:val="1"/>
      <w:numFmt w:val="decimal"/>
      <w:lvlText w:val="%7."/>
      <w:lvlJc w:val="left"/>
      <w:pPr>
        <w:ind w:left="2808" w:hanging="360"/>
      </w:pPr>
    </w:lvl>
    <w:lvl w:ilvl="7">
      <w:start w:val="1"/>
      <w:numFmt w:val="lowerLetter"/>
      <w:lvlText w:val="%8."/>
      <w:lvlJc w:val="left"/>
      <w:pPr>
        <w:ind w:left="3168" w:hanging="360"/>
      </w:pPr>
    </w:lvl>
    <w:lvl w:ilvl="8">
      <w:start w:val="1"/>
      <w:numFmt w:val="lowerRoman"/>
      <w:lvlText w:val="%9."/>
      <w:lvlJc w:val="left"/>
      <w:pPr>
        <w:ind w:left="3528" w:hanging="360"/>
      </w:pPr>
    </w:lvl>
  </w:abstractNum>
  <w:abstractNum w:abstractNumId="1" w15:restartNumberingAfterBreak="0">
    <w:nsid w:val="141C1F2F"/>
    <w:multiLevelType w:val="multilevel"/>
    <w:tmpl w:val="110EADE8"/>
    <w:lvl w:ilvl="0">
      <w:start w:val="1"/>
      <w:numFmt w:val="decimal"/>
      <w:lvlText w:val="%1."/>
      <w:lvlJc w:val="left"/>
      <w:pPr>
        <w:ind w:left="648" w:hanging="360"/>
      </w:pPr>
    </w:lvl>
    <w:lvl w:ilvl="1">
      <w:start w:val="1"/>
      <w:numFmt w:val="decimal"/>
      <w:lvlText w:val="%2."/>
      <w:lvlJc w:val="left"/>
      <w:pPr>
        <w:ind w:left="1008" w:hanging="360"/>
      </w:pPr>
      <w:rPr>
        <w:rFonts w:hint="default"/>
      </w:rPr>
    </w:lvl>
    <w:lvl w:ilvl="2">
      <w:start w:val="1"/>
      <w:numFmt w:val="lowerRoman"/>
      <w:lvlText w:val="%3)"/>
      <w:lvlJc w:val="left"/>
      <w:pPr>
        <w:ind w:left="1368" w:hanging="360"/>
      </w:pPr>
    </w:lvl>
    <w:lvl w:ilvl="3">
      <w:start w:val="1"/>
      <w:numFmt w:val="decimal"/>
      <w:lvlText w:val="(%4)"/>
      <w:lvlJc w:val="left"/>
      <w:pPr>
        <w:ind w:left="1728" w:hanging="360"/>
      </w:pPr>
    </w:lvl>
    <w:lvl w:ilvl="4">
      <w:start w:val="1"/>
      <w:numFmt w:val="lowerLetter"/>
      <w:lvlText w:val="(%5)"/>
      <w:lvlJc w:val="left"/>
      <w:pPr>
        <w:ind w:left="2088" w:hanging="360"/>
      </w:pPr>
    </w:lvl>
    <w:lvl w:ilvl="5">
      <w:start w:val="1"/>
      <w:numFmt w:val="lowerRoman"/>
      <w:lvlText w:val="(%6)"/>
      <w:lvlJc w:val="left"/>
      <w:pPr>
        <w:ind w:left="2448" w:hanging="360"/>
      </w:pPr>
    </w:lvl>
    <w:lvl w:ilvl="6">
      <w:start w:val="1"/>
      <w:numFmt w:val="decimal"/>
      <w:lvlText w:val="%7."/>
      <w:lvlJc w:val="left"/>
      <w:pPr>
        <w:ind w:left="2808" w:hanging="360"/>
      </w:pPr>
    </w:lvl>
    <w:lvl w:ilvl="7">
      <w:start w:val="1"/>
      <w:numFmt w:val="lowerLetter"/>
      <w:lvlText w:val="%8."/>
      <w:lvlJc w:val="left"/>
      <w:pPr>
        <w:ind w:left="3168" w:hanging="360"/>
      </w:pPr>
    </w:lvl>
    <w:lvl w:ilvl="8">
      <w:start w:val="1"/>
      <w:numFmt w:val="lowerRoman"/>
      <w:lvlText w:val="%9."/>
      <w:lvlJc w:val="left"/>
      <w:pPr>
        <w:ind w:left="3528" w:hanging="360"/>
      </w:p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C224E5"/>
    <w:multiLevelType w:val="multilevel"/>
    <w:tmpl w:val="3C24BF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7970EA"/>
    <w:multiLevelType w:val="hybridMultilevel"/>
    <w:tmpl w:val="0186A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450CE"/>
    <w:multiLevelType w:val="multilevel"/>
    <w:tmpl w:val="110EADE8"/>
    <w:lvl w:ilvl="0">
      <w:start w:val="1"/>
      <w:numFmt w:val="decimal"/>
      <w:lvlText w:val="%1."/>
      <w:lvlJc w:val="left"/>
      <w:pPr>
        <w:ind w:left="648" w:hanging="360"/>
      </w:pPr>
    </w:lvl>
    <w:lvl w:ilvl="1">
      <w:start w:val="1"/>
      <w:numFmt w:val="decimal"/>
      <w:lvlText w:val="%2."/>
      <w:lvlJc w:val="left"/>
      <w:pPr>
        <w:ind w:left="1008" w:hanging="360"/>
      </w:pPr>
      <w:rPr>
        <w:rFonts w:hint="default"/>
      </w:rPr>
    </w:lvl>
    <w:lvl w:ilvl="2">
      <w:start w:val="1"/>
      <w:numFmt w:val="lowerRoman"/>
      <w:lvlText w:val="%3)"/>
      <w:lvlJc w:val="left"/>
      <w:pPr>
        <w:ind w:left="1368" w:hanging="360"/>
      </w:pPr>
    </w:lvl>
    <w:lvl w:ilvl="3">
      <w:start w:val="1"/>
      <w:numFmt w:val="decimal"/>
      <w:lvlText w:val="(%4)"/>
      <w:lvlJc w:val="left"/>
      <w:pPr>
        <w:ind w:left="1728" w:hanging="360"/>
      </w:pPr>
    </w:lvl>
    <w:lvl w:ilvl="4">
      <w:start w:val="1"/>
      <w:numFmt w:val="lowerLetter"/>
      <w:lvlText w:val="(%5)"/>
      <w:lvlJc w:val="left"/>
      <w:pPr>
        <w:ind w:left="2088" w:hanging="360"/>
      </w:pPr>
    </w:lvl>
    <w:lvl w:ilvl="5">
      <w:start w:val="1"/>
      <w:numFmt w:val="lowerRoman"/>
      <w:lvlText w:val="(%6)"/>
      <w:lvlJc w:val="left"/>
      <w:pPr>
        <w:ind w:left="2448" w:hanging="360"/>
      </w:pPr>
    </w:lvl>
    <w:lvl w:ilvl="6">
      <w:start w:val="1"/>
      <w:numFmt w:val="decimal"/>
      <w:lvlText w:val="%7."/>
      <w:lvlJc w:val="left"/>
      <w:pPr>
        <w:ind w:left="2808" w:hanging="360"/>
      </w:pPr>
    </w:lvl>
    <w:lvl w:ilvl="7">
      <w:start w:val="1"/>
      <w:numFmt w:val="lowerLetter"/>
      <w:lvlText w:val="%8."/>
      <w:lvlJc w:val="left"/>
      <w:pPr>
        <w:ind w:left="3168" w:hanging="360"/>
      </w:pPr>
    </w:lvl>
    <w:lvl w:ilvl="8">
      <w:start w:val="1"/>
      <w:numFmt w:val="lowerRoman"/>
      <w:lvlText w:val="%9."/>
      <w:lvlJc w:val="left"/>
      <w:pPr>
        <w:ind w:left="3528" w:hanging="360"/>
      </w:pPr>
    </w:lvl>
  </w:abstractNum>
  <w:abstractNum w:abstractNumId="14" w15:restartNumberingAfterBreak="0">
    <w:nsid w:val="511846B7"/>
    <w:multiLevelType w:val="hybridMultilevel"/>
    <w:tmpl w:val="D4764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674CA5"/>
    <w:multiLevelType w:val="hybridMultilevel"/>
    <w:tmpl w:val="59A8E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840BD0"/>
    <w:multiLevelType w:val="multilevel"/>
    <w:tmpl w:val="110EADE8"/>
    <w:lvl w:ilvl="0">
      <w:start w:val="1"/>
      <w:numFmt w:val="decimal"/>
      <w:lvlText w:val="%1."/>
      <w:lvlJc w:val="left"/>
      <w:pPr>
        <w:ind w:left="648" w:hanging="360"/>
      </w:pPr>
    </w:lvl>
    <w:lvl w:ilvl="1">
      <w:start w:val="1"/>
      <w:numFmt w:val="decimal"/>
      <w:lvlText w:val="%2."/>
      <w:lvlJc w:val="left"/>
      <w:pPr>
        <w:ind w:left="1008" w:hanging="360"/>
      </w:pPr>
      <w:rPr>
        <w:rFonts w:hint="default"/>
      </w:rPr>
    </w:lvl>
    <w:lvl w:ilvl="2">
      <w:start w:val="1"/>
      <w:numFmt w:val="lowerRoman"/>
      <w:lvlText w:val="%3)"/>
      <w:lvlJc w:val="left"/>
      <w:pPr>
        <w:ind w:left="1368" w:hanging="360"/>
      </w:pPr>
    </w:lvl>
    <w:lvl w:ilvl="3">
      <w:start w:val="1"/>
      <w:numFmt w:val="decimal"/>
      <w:lvlText w:val="(%4)"/>
      <w:lvlJc w:val="left"/>
      <w:pPr>
        <w:ind w:left="1728" w:hanging="360"/>
      </w:pPr>
    </w:lvl>
    <w:lvl w:ilvl="4">
      <w:start w:val="1"/>
      <w:numFmt w:val="lowerLetter"/>
      <w:lvlText w:val="(%5)"/>
      <w:lvlJc w:val="left"/>
      <w:pPr>
        <w:ind w:left="2088" w:hanging="360"/>
      </w:pPr>
    </w:lvl>
    <w:lvl w:ilvl="5">
      <w:start w:val="1"/>
      <w:numFmt w:val="lowerRoman"/>
      <w:lvlText w:val="(%6)"/>
      <w:lvlJc w:val="left"/>
      <w:pPr>
        <w:ind w:left="2448" w:hanging="360"/>
      </w:pPr>
    </w:lvl>
    <w:lvl w:ilvl="6">
      <w:start w:val="1"/>
      <w:numFmt w:val="decimal"/>
      <w:lvlText w:val="%7."/>
      <w:lvlJc w:val="left"/>
      <w:pPr>
        <w:ind w:left="2808" w:hanging="360"/>
      </w:pPr>
    </w:lvl>
    <w:lvl w:ilvl="7">
      <w:start w:val="1"/>
      <w:numFmt w:val="lowerLetter"/>
      <w:lvlText w:val="%8."/>
      <w:lvlJc w:val="left"/>
      <w:pPr>
        <w:ind w:left="3168" w:hanging="360"/>
      </w:pPr>
    </w:lvl>
    <w:lvl w:ilvl="8">
      <w:start w:val="1"/>
      <w:numFmt w:val="lowerRoman"/>
      <w:lvlText w:val="%9."/>
      <w:lvlJc w:val="left"/>
      <w:pPr>
        <w:ind w:left="3528" w:hanging="360"/>
      </w:pPr>
    </w:lvl>
  </w:abstractNum>
  <w:abstractNum w:abstractNumId="18" w15:restartNumberingAfterBreak="0">
    <w:nsid w:val="699A73CC"/>
    <w:multiLevelType w:val="multilevel"/>
    <w:tmpl w:val="110EADE8"/>
    <w:lvl w:ilvl="0">
      <w:start w:val="1"/>
      <w:numFmt w:val="decimal"/>
      <w:lvlText w:val="%1."/>
      <w:lvlJc w:val="left"/>
      <w:pPr>
        <w:ind w:left="648" w:hanging="360"/>
      </w:pPr>
    </w:lvl>
    <w:lvl w:ilvl="1">
      <w:start w:val="1"/>
      <w:numFmt w:val="decimal"/>
      <w:lvlText w:val="%2."/>
      <w:lvlJc w:val="left"/>
      <w:pPr>
        <w:ind w:left="1008" w:hanging="360"/>
      </w:pPr>
      <w:rPr>
        <w:rFonts w:hint="default"/>
      </w:rPr>
    </w:lvl>
    <w:lvl w:ilvl="2">
      <w:start w:val="1"/>
      <w:numFmt w:val="lowerRoman"/>
      <w:lvlText w:val="%3)"/>
      <w:lvlJc w:val="left"/>
      <w:pPr>
        <w:ind w:left="1368" w:hanging="360"/>
      </w:pPr>
    </w:lvl>
    <w:lvl w:ilvl="3">
      <w:start w:val="1"/>
      <w:numFmt w:val="decimal"/>
      <w:lvlText w:val="(%4)"/>
      <w:lvlJc w:val="left"/>
      <w:pPr>
        <w:ind w:left="1728" w:hanging="360"/>
      </w:pPr>
    </w:lvl>
    <w:lvl w:ilvl="4">
      <w:start w:val="1"/>
      <w:numFmt w:val="lowerLetter"/>
      <w:lvlText w:val="(%5)"/>
      <w:lvlJc w:val="left"/>
      <w:pPr>
        <w:ind w:left="2088" w:hanging="360"/>
      </w:pPr>
    </w:lvl>
    <w:lvl w:ilvl="5">
      <w:start w:val="1"/>
      <w:numFmt w:val="lowerRoman"/>
      <w:lvlText w:val="(%6)"/>
      <w:lvlJc w:val="left"/>
      <w:pPr>
        <w:ind w:left="2448" w:hanging="360"/>
      </w:pPr>
    </w:lvl>
    <w:lvl w:ilvl="6">
      <w:start w:val="1"/>
      <w:numFmt w:val="decimal"/>
      <w:lvlText w:val="%7."/>
      <w:lvlJc w:val="left"/>
      <w:pPr>
        <w:ind w:left="2808" w:hanging="360"/>
      </w:pPr>
    </w:lvl>
    <w:lvl w:ilvl="7">
      <w:start w:val="1"/>
      <w:numFmt w:val="lowerLetter"/>
      <w:lvlText w:val="%8."/>
      <w:lvlJc w:val="left"/>
      <w:pPr>
        <w:ind w:left="3168" w:hanging="360"/>
      </w:pPr>
    </w:lvl>
    <w:lvl w:ilvl="8">
      <w:start w:val="1"/>
      <w:numFmt w:val="lowerRoman"/>
      <w:lvlText w:val="%9."/>
      <w:lvlJc w:val="left"/>
      <w:pPr>
        <w:ind w:left="3528" w:hanging="360"/>
      </w:pPr>
    </w:lvl>
  </w:abstractNum>
  <w:abstractNum w:abstractNumId="19" w15:restartNumberingAfterBreak="0">
    <w:nsid w:val="6A521C6D"/>
    <w:multiLevelType w:val="multilevel"/>
    <w:tmpl w:val="110EADE8"/>
    <w:lvl w:ilvl="0">
      <w:start w:val="1"/>
      <w:numFmt w:val="decimal"/>
      <w:lvlText w:val="%1."/>
      <w:lvlJc w:val="left"/>
      <w:pPr>
        <w:ind w:left="648" w:hanging="360"/>
      </w:pPr>
    </w:lvl>
    <w:lvl w:ilvl="1">
      <w:start w:val="1"/>
      <w:numFmt w:val="decimal"/>
      <w:lvlText w:val="%2."/>
      <w:lvlJc w:val="left"/>
      <w:pPr>
        <w:ind w:left="1008" w:hanging="360"/>
      </w:pPr>
      <w:rPr>
        <w:rFonts w:hint="default"/>
      </w:rPr>
    </w:lvl>
    <w:lvl w:ilvl="2">
      <w:start w:val="1"/>
      <w:numFmt w:val="lowerRoman"/>
      <w:lvlText w:val="%3)"/>
      <w:lvlJc w:val="left"/>
      <w:pPr>
        <w:ind w:left="1368" w:hanging="360"/>
      </w:pPr>
    </w:lvl>
    <w:lvl w:ilvl="3">
      <w:start w:val="1"/>
      <w:numFmt w:val="decimal"/>
      <w:lvlText w:val="(%4)"/>
      <w:lvlJc w:val="left"/>
      <w:pPr>
        <w:ind w:left="1728" w:hanging="360"/>
      </w:pPr>
    </w:lvl>
    <w:lvl w:ilvl="4">
      <w:start w:val="1"/>
      <w:numFmt w:val="lowerLetter"/>
      <w:lvlText w:val="(%5)"/>
      <w:lvlJc w:val="left"/>
      <w:pPr>
        <w:ind w:left="2088" w:hanging="360"/>
      </w:pPr>
    </w:lvl>
    <w:lvl w:ilvl="5">
      <w:start w:val="1"/>
      <w:numFmt w:val="lowerRoman"/>
      <w:lvlText w:val="(%6)"/>
      <w:lvlJc w:val="left"/>
      <w:pPr>
        <w:ind w:left="2448" w:hanging="360"/>
      </w:pPr>
    </w:lvl>
    <w:lvl w:ilvl="6">
      <w:start w:val="1"/>
      <w:numFmt w:val="decimal"/>
      <w:lvlText w:val="%7."/>
      <w:lvlJc w:val="left"/>
      <w:pPr>
        <w:ind w:left="2808" w:hanging="360"/>
      </w:pPr>
    </w:lvl>
    <w:lvl w:ilvl="7">
      <w:start w:val="1"/>
      <w:numFmt w:val="lowerLetter"/>
      <w:lvlText w:val="%8."/>
      <w:lvlJc w:val="left"/>
      <w:pPr>
        <w:ind w:left="3168" w:hanging="360"/>
      </w:pPr>
    </w:lvl>
    <w:lvl w:ilvl="8">
      <w:start w:val="1"/>
      <w:numFmt w:val="lowerRoman"/>
      <w:lvlText w:val="%9."/>
      <w:lvlJc w:val="left"/>
      <w:pPr>
        <w:ind w:left="3528" w:hanging="360"/>
      </w:pPr>
    </w:lvl>
  </w:abstractNum>
  <w:abstractNum w:abstractNumId="20" w15:restartNumberingAfterBreak="0">
    <w:nsid w:val="6ADF4207"/>
    <w:multiLevelType w:val="hybridMultilevel"/>
    <w:tmpl w:val="B8284534"/>
    <w:lvl w:ilvl="0" w:tplc="0409000F">
      <w:start w:val="7"/>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2" w15:restartNumberingAfterBreak="0">
    <w:nsid w:val="7C4404DC"/>
    <w:multiLevelType w:val="hybridMultilevel"/>
    <w:tmpl w:val="C2E6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6"/>
  </w:num>
  <w:num w:numId="6">
    <w:abstractNumId w:val="15"/>
  </w:num>
  <w:num w:numId="7">
    <w:abstractNumId w:val="3"/>
  </w:num>
  <w:num w:numId="8">
    <w:abstractNumId w:val="8"/>
  </w:num>
  <w:num w:numId="9">
    <w:abstractNumId w:val="10"/>
  </w:num>
  <w:num w:numId="10">
    <w:abstractNumId w:val="5"/>
  </w:num>
  <w:num w:numId="11">
    <w:abstractNumId w:val="21"/>
  </w:num>
  <w:num w:numId="12">
    <w:abstractNumId w:val="14"/>
  </w:num>
  <w:num w:numId="13">
    <w:abstractNumId w:val="20"/>
  </w:num>
  <w:num w:numId="14">
    <w:abstractNumId w:val="12"/>
  </w:num>
  <w:num w:numId="15">
    <w:abstractNumId w:val="22"/>
  </w:num>
  <w:num w:numId="16">
    <w:abstractNumId w:val="16"/>
  </w:num>
  <w:num w:numId="17">
    <w:abstractNumId w:val="7"/>
  </w:num>
  <w:num w:numId="18">
    <w:abstractNumId w:val="1"/>
  </w:num>
  <w:num w:numId="19">
    <w:abstractNumId w:val="17"/>
  </w:num>
  <w:num w:numId="20">
    <w:abstractNumId w:val="18"/>
  </w:num>
  <w:num w:numId="21">
    <w:abstractNumId w:val="19"/>
  </w:num>
  <w:num w:numId="22">
    <w:abstractNumId w:val="1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63F26"/>
    <w:rsid w:val="000810FF"/>
    <w:rsid w:val="000A36CD"/>
    <w:rsid w:val="000B3D92"/>
    <w:rsid w:val="000D1497"/>
    <w:rsid w:val="000D21F2"/>
    <w:rsid w:val="000E2CBA"/>
    <w:rsid w:val="001010FA"/>
    <w:rsid w:val="00101BA4"/>
    <w:rsid w:val="0010291E"/>
    <w:rsid w:val="00115A68"/>
    <w:rsid w:val="0011690A"/>
    <w:rsid w:val="00120C12"/>
    <w:rsid w:val="0012452C"/>
    <w:rsid w:val="001278A4"/>
    <w:rsid w:val="0013176C"/>
    <w:rsid w:val="00131B87"/>
    <w:rsid w:val="001429AA"/>
    <w:rsid w:val="00176C55"/>
    <w:rsid w:val="00181A4B"/>
    <w:rsid w:val="001A37FB"/>
    <w:rsid w:val="001A51ED"/>
    <w:rsid w:val="001B2E3A"/>
    <w:rsid w:val="001B4B98"/>
    <w:rsid w:val="0020058E"/>
    <w:rsid w:val="002007EF"/>
    <w:rsid w:val="00233864"/>
    <w:rsid w:val="00237355"/>
    <w:rsid w:val="00246950"/>
    <w:rsid w:val="00252C56"/>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08DB"/>
    <w:rsid w:val="002F36B8"/>
    <w:rsid w:val="00310D95"/>
    <w:rsid w:val="00345149"/>
    <w:rsid w:val="00376A8B"/>
    <w:rsid w:val="0038653D"/>
    <w:rsid w:val="003A45F6"/>
    <w:rsid w:val="003B4A52"/>
    <w:rsid w:val="003C1A54"/>
    <w:rsid w:val="003C511E"/>
    <w:rsid w:val="003D0A32"/>
    <w:rsid w:val="003D7372"/>
    <w:rsid w:val="003F099C"/>
    <w:rsid w:val="003F4E82"/>
    <w:rsid w:val="00402602"/>
    <w:rsid w:val="004254A0"/>
    <w:rsid w:val="004313E6"/>
    <w:rsid w:val="004403BD"/>
    <w:rsid w:val="00442EEA"/>
    <w:rsid w:val="004663A8"/>
    <w:rsid w:val="004779B4"/>
    <w:rsid w:val="004E57C5"/>
    <w:rsid w:val="00505E5F"/>
    <w:rsid w:val="00512888"/>
    <w:rsid w:val="00517DB2"/>
    <w:rsid w:val="00530493"/>
    <w:rsid w:val="005473BC"/>
    <w:rsid w:val="005873E3"/>
    <w:rsid w:val="00591FDA"/>
    <w:rsid w:val="005A59DA"/>
    <w:rsid w:val="005B1049"/>
    <w:rsid w:val="005C23BD"/>
    <w:rsid w:val="005C3F83"/>
    <w:rsid w:val="005D389E"/>
    <w:rsid w:val="005E2A23"/>
    <w:rsid w:val="005F2523"/>
    <w:rsid w:val="005F2A05"/>
    <w:rsid w:val="00670869"/>
    <w:rsid w:val="006761E1"/>
    <w:rsid w:val="00691726"/>
    <w:rsid w:val="006970B0"/>
    <w:rsid w:val="006B20A9"/>
    <w:rsid w:val="006C14B7"/>
    <w:rsid w:val="006E275C"/>
    <w:rsid w:val="006E3AF2"/>
    <w:rsid w:val="006E6680"/>
    <w:rsid w:val="006F7F90"/>
    <w:rsid w:val="00704CFF"/>
    <w:rsid w:val="00706745"/>
    <w:rsid w:val="007072F7"/>
    <w:rsid w:val="007252CB"/>
    <w:rsid w:val="0074235B"/>
    <w:rsid w:val="00743AD2"/>
    <w:rsid w:val="007445F4"/>
    <w:rsid w:val="007554DE"/>
    <w:rsid w:val="00760EA6"/>
    <w:rsid w:val="00795D54"/>
    <w:rsid w:val="00796AF7"/>
    <w:rsid w:val="007970C3"/>
    <w:rsid w:val="007A5702"/>
    <w:rsid w:val="007B10BE"/>
    <w:rsid w:val="007C5FC4"/>
    <w:rsid w:val="00810C5C"/>
    <w:rsid w:val="008122C6"/>
    <w:rsid w:val="0085229B"/>
    <w:rsid w:val="008555D8"/>
    <w:rsid w:val="008628B1"/>
    <w:rsid w:val="00865915"/>
    <w:rsid w:val="00872775"/>
    <w:rsid w:val="008745BA"/>
    <w:rsid w:val="00880392"/>
    <w:rsid w:val="008836DF"/>
    <w:rsid w:val="008847FE"/>
    <w:rsid w:val="0089208D"/>
    <w:rsid w:val="0089234B"/>
    <w:rsid w:val="008927AF"/>
    <w:rsid w:val="0089400B"/>
    <w:rsid w:val="008A09C0"/>
    <w:rsid w:val="008B1F84"/>
    <w:rsid w:val="008C6EC3"/>
    <w:rsid w:val="008D52B7"/>
    <w:rsid w:val="008E0FCD"/>
    <w:rsid w:val="008E3EFA"/>
    <w:rsid w:val="008E5DF8"/>
    <w:rsid w:val="008F175C"/>
    <w:rsid w:val="00905E67"/>
    <w:rsid w:val="00913143"/>
    <w:rsid w:val="00936421"/>
    <w:rsid w:val="009458D2"/>
    <w:rsid w:val="00946B20"/>
    <w:rsid w:val="0098046D"/>
    <w:rsid w:val="00984B36"/>
    <w:rsid w:val="009A2576"/>
    <w:rsid w:val="009A4E6F"/>
    <w:rsid w:val="009A58C1"/>
    <w:rsid w:val="009B4B02"/>
    <w:rsid w:val="009C1440"/>
    <w:rsid w:val="009D50F1"/>
    <w:rsid w:val="009F029C"/>
    <w:rsid w:val="009F2F3E"/>
    <w:rsid w:val="00A01611"/>
    <w:rsid w:val="00A04A92"/>
    <w:rsid w:val="00A06E22"/>
    <w:rsid w:val="00A11DCD"/>
    <w:rsid w:val="00A32214"/>
    <w:rsid w:val="00A442D7"/>
    <w:rsid w:val="00A52E36"/>
    <w:rsid w:val="00A54783"/>
    <w:rsid w:val="00A5525B"/>
    <w:rsid w:val="00A56D5F"/>
    <w:rsid w:val="00A6264E"/>
    <w:rsid w:val="00A76B76"/>
    <w:rsid w:val="00A83A6C"/>
    <w:rsid w:val="00A85BAB"/>
    <w:rsid w:val="00A87611"/>
    <w:rsid w:val="00A94B5A"/>
    <w:rsid w:val="00AC3032"/>
    <w:rsid w:val="00AE601F"/>
    <w:rsid w:val="00AE78C2"/>
    <w:rsid w:val="00AE7A3D"/>
    <w:rsid w:val="00B12BAB"/>
    <w:rsid w:val="00B20954"/>
    <w:rsid w:val="00B24AAC"/>
    <w:rsid w:val="00B25878"/>
    <w:rsid w:val="00B26F16"/>
    <w:rsid w:val="00B35315"/>
    <w:rsid w:val="00B4771F"/>
    <w:rsid w:val="00B4784B"/>
    <w:rsid w:val="00B51B79"/>
    <w:rsid w:val="00B605CE"/>
    <w:rsid w:val="00B649C4"/>
    <w:rsid w:val="00B7207F"/>
    <w:rsid w:val="00B7249C"/>
    <w:rsid w:val="00B82B64"/>
    <w:rsid w:val="00B85F49"/>
    <w:rsid w:val="00B862BF"/>
    <w:rsid w:val="00B87B39"/>
    <w:rsid w:val="00BA06C6"/>
    <w:rsid w:val="00BB11B9"/>
    <w:rsid w:val="00BC42B6"/>
    <w:rsid w:val="00BF1795"/>
    <w:rsid w:val="00C0654C"/>
    <w:rsid w:val="00C11283"/>
    <w:rsid w:val="00C25F9D"/>
    <w:rsid w:val="00C31E83"/>
    <w:rsid w:val="00C344AB"/>
    <w:rsid w:val="00C518C1"/>
    <w:rsid w:val="00C53751"/>
    <w:rsid w:val="00C63F4F"/>
    <w:rsid w:val="00C67350"/>
    <w:rsid w:val="00C94576"/>
    <w:rsid w:val="00C969FA"/>
    <w:rsid w:val="00C97577"/>
    <w:rsid w:val="00CA548F"/>
    <w:rsid w:val="00CA71A8"/>
    <w:rsid w:val="00CC03A7"/>
    <w:rsid w:val="00CC3E7A"/>
    <w:rsid w:val="00CD18DD"/>
    <w:rsid w:val="00D04944"/>
    <w:rsid w:val="00D13EC7"/>
    <w:rsid w:val="00D15E90"/>
    <w:rsid w:val="00D358F2"/>
    <w:rsid w:val="00D477F5"/>
    <w:rsid w:val="00D56C09"/>
    <w:rsid w:val="00D64DF4"/>
    <w:rsid w:val="00D65F02"/>
    <w:rsid w:val="00D738DB"/>
    <w:rsid w:val="00D75B84"/>
    <w:rsid w:val="00D75FF8"/>
    <w:rsid w:val="00DA73A0"/>
    <w:rsid w:val="00DB23D4"/>
    <w:rsid w:val="00DB63D4"/>
    <w:rsid w:val="00DD69AE"/>
    <w:rsid w:val="00DE2B7A"/>
    <w:rsid w:val="00DF4FCD"/>
    <w:rsid w:val="00DF7C07"/>
    <w:rsid w:val="00E36AF7"/>
    <w:rsid w:val="00E44451"/>
    <w:rsid w:val="00E4755D"/>
    <w:rsid w:val="00E641DE"/>
    <w:rsid w:val="00E64AA4"/>
    <w:rsid w:val="00EB03F0"/>
    <w:rsid w:val="00EB33FD"/>
    <w:rsid w:val="00EC63A4"/>
    <w:rsid w:val="00EC7B24"/>
    <w:rsid w:val="00ED1712"/>
    <w:rsid w:val="00ED77A8"/>
    <w:rsid w:val="00F15B95"/>
    <w:rsid w:val="00F3256C"/>
    <w:rsid w:val="00F32980"/>
    <w:rsid w:val="00F64260"/>
    <w:rsid w:val="00F871BA"/>
    <w:rsid w:val="00F93752"/>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1">
    <w:name w:val="p1"/>
    <w:basedOn w:val="Normal"/>
    <w:rsid w:val="00BA06C6"/>
    <w:pPr>
      <w:spacing w:line="240" w:lineRule="auto"/>
    </w:pPr>
    <w:rPr>
      <w:rFonts w:ascii="Helvetica" w:eastAsia="Arial" w:hAnsi="Helvetica"/>
      <w:sz w:val="17"/>
      <w:szCs w:val="17"/>
      <w:lang w:eastAsia="zh-CN"/>
    </w:rPr>
  </w:style>
  <w:style w:type="paragraph" w:styleId="NormalWeb">
    <w:name w:val="Normal (Web)"/>
    <w:basedOn w:val="Normal"/>
    <w:uiPriority w:val="99"/>
    <w:unhideWhenUsed/>
    <w:rsid w:val="00BA06C6"/>
    <w:pPr>
      <w:spacing w:before="100" w:beforeAutospacing="1" w:after="100" w:afterAutospacing="1" w:line="240" w:lineRule="auto"/>
    </w:pPr>
    <w:rPr>
      <w:rFonts w:ascii="Times New Roman" w:eastAsia="Arial"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67Z3ZXSPZZWZ-949-678</_dlc_DocId>
    <_dlc_DocIdUrl xmlns="67887a43-7e4d-4c1c-91d7-15e417b1b8ab">
      <Url>https://w3.ric.edu/curriculum_committee/_layouts/15/DocIdRedir.aspx?ID=67Z3ZXSPZZWZ-949-678</Url>
      <Description>67Z3ZXSPZZWZ-949-678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F3278B1F-C6E9-48B9-ACE3-9C8F7944DF9A}"/>
</file>

<file path=docProps/app.xml><?xml version="1.0" encoding="utf-8"?>
<Properties xmlns="http://schemas.openxmlformats.org/officeDocument/2006/extended-properties" xmlns:vt="http://schemas.openxmlformats.org/officeDocument/2006/docPropsVTypes">
  <Template>Normal.dotm</Template>
  <TotalTime>264</TotalTime>
  <Pages>6</Pages>
  <Words>2777</Words>
  <Characters>15832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4</cp:revision>
  <cp:lastPrinted>2015-10-02T15:20:00Z</cp:lastPrinted>
  <dcterms:created xsi:type="dcterms:W3CDTF">2018-10-23T00:19:00Z</dcterms:created>
  <dcterms:modified xsi:type="dcterms:W3CDTF">2018-11-03T17:52:00Z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ee5ac04e-a60d-4180-a1e7-a2bc5ba94d11</vt:lpwstr>
  </property>
</Properties>
</file>