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4A2A7BE7" w:rsidR="00F64260" w:rsidRPr="00B649C4" w:rsidRDefault="00F64260" w:rsidP="00704D9A">
            <w:r w:rsidRPr="00B649C4">
              <w:t>A</w:t>
            </w:r>
            <w:r>
              <w:t>.</w:t>
            </w:r>
            <w:r w:rsidRPr="00B649C4">
              <w:t xml:space="preserve">1. </w:t>
            </w:r>
            <w:r w:rsidR="00704D9A">
              <w:t xml:space="preserve">Course </w:t>
            </w:r>
          </w:p>
        </w:tc>
        <w:tc>
          <w:tcPr>
            <w:tcW w:w="3758" w:type="pct"/>
            <w:gridSpan w:val="4"/>
          </w:tcPr>
          <w:p w14:paraId="3DD8DB7A" w14:textId="1FBAE3D6" w:rsidR="00F64260" w:rsidRPr="00A83A6C" w:rsidRDefault="00C70EE8" w:rsidP="00B862BF">
            <w:pPr>
              <w:pStyle w:val="Heading5"/>
              <w:rPr>
                <w:b/>
              </w:rPr>
            </w:pPr>
            <w:bookmarkStart w:id="0" w:name="Proposal"/>
            <w:bookmarkEnd w:id="0"/>
            <w:r>
              <w:rPr>
                <w:b/>
              </w:rPr>
              <w:t>GEND 355</w:t>
            </w:r>
            <w:r w:rsidR="00704D9A">
              <w:rPr>
                <w:b/>
              </w:rPr>
              <w:t>: Women and Madness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4678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AE03A89"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2B6E42EC" w:rsidR="00F64260" w:rsidRPr="005F2A05" w:rsidRDefault="00704D9A" w:rsidP="00704D9A">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00A1A7F" w:rsidR="00F64260" w:rsidRPr="00B605CE" w:rsidRDefault="00704D9A" w:rsidP="00B862BF">
            <w:pPr>
              <w:rPr>
                <w:b/>
              </w:rPr>
            </w:pPr>
            <w:bookmarkStart w:id="6" w:name="Originator"/>
            <w:bookmarkEnd w:id="6"/>
            <w:r>
              <w:rPr>
                <w:b/>
              </w:rPr>
              <w:t>Leslie Schuster</w:t>
            </w:r>
          </w:p>
        </w:tc>
        <w:tc>
          <w:tcPr>
            <w:tcW w:w="1210" w:type="pct"/>
          </w:tcPr>
          <w:p w14:paraId="788D9512" w14:textId="72FA56E6" w:rsidR="00F64260" w:rsidRPr="00946B20" w:rsidRDefault="00173B46" w:rsidP="00704D9A">
            <w:r>
              <w:t>Department</w:t>
            </w:r>
          </w:p>
        </w:tc>
        <w:tc>
          <w:tcPr>
            <w:tcW w:w="1519" w:type="pct"/>
            <w:gridSpan w:val="3"/>
          </w:tcPr>
          <w:p w14:paraId="6A9CD084" w14:textId="4768B8E1" w:rsidR="00F64260" w:rsidRPr="00B605CE" w:rsidRDefault="00173B46" w:rsidP="00B862BF">
            <w:pPr>
              <w:rPr>
                <w:b/>
              </w:rPr>
            </w:pPr>
            <w:bookmarkStart w:id="7" w:name="home_dept"/>
            <w:bookmarkEnd w:id="7"/>
            <w:r w:rsidRPr="00173B46">
              <w:t>Gender</w:t>
            </w:r>
            <w:r>
              <w:rPr>
                <w:rStyle w:val="Hyperlink"/>
              </w:rPr>
              <w:t xml:space="preserve"> </w:t>
            </w:r>
            <w:r w:rsidRPr="00891081">
              <w:t>and Women’s Studies</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1D7E2B04" w14:textId="7A3966C9" w:rsidR="00741789" w:rsidRDefault="00741789" w:rsidP="00741789">
            <w:pPr>
              <w:rPr>
                <w:b/>
              </w:rPr>
            </w:pPr>
            <w:r>
              <w:rPr>
                <w:b/>
              </w:rPr>
              <w:t>This course has been offered as a GEND 350 Topics Course in</w:t>
            </w:r>
            <w:r w:rsidR="000841A8">
              <w:rPr>
                <w:b/>
              </w:rPr>
              <w:t xml:space="preserve"> Fall 2011</w:t>
            </w:r>
            <w:r>
              <w:rPr>
                <w:b/>
              </w:rPr>
              <w:t xml:space="preserve">, </w:t>
            </w:r>
            <w:r w:rsidR="000841A8">
              <w:rPr>
                <w:b/>
              </w:rPr>
              <w:t xml:space="preserve">Spring 2013 </w:t>
            </w:r>
            <w:r>
              <w:rPr>
                <w:b/>
              </w:rPr>
              <w:t>and</w:t>
            </w:r>
            <w:r w:rsidR="000841A8">
              <w:rPr>
                <w:b/>
              </w:rPr>
              <w:t xml:space="preserve"> Spring 2015. </w:t>
            </w:r>
            <w:r>
              <w:rPr>
                <w:b/>
              </w:rPr>
              <w:t xml:space="preserve"> It has been a valuable addition to our curriculum and has drawn students from Gender and Women’s Studies, Social Work, Health Education, History and Nursing.  We would like to now make it a regular part of the Gender and Women’s Studies curriculum as an elective to be offered every 18 months. </w:t>
            </w:r>
          </w:p>
          <w:p w14:paraId="12C2D524" w14:textId="77777777" w:rsidR="0027219D" w:rsidRDefault="0027219D" w:rsidP="00BA2D51">
            <w:pPr>
              <w:pStyle w:val="ColorfulList-Accent11"/>
              <w:ind w:left="0"/>
              <w:rPr>
                <w:rFonts w:ascii="Times New Roman" w:hAnsi="Times New Roman"/>
              </w:rPr>
            </w:pPr>
          </w:p>
          <w:p w14:paraId="57FA8C94" w14:textId="64AE4EA5" w:rsidR="00F64260" w:rsidRPr="00BA2D51" w:rsidRDefault="00C70EE8" w:rsidP="00BA2D51">
            <w:pPr>
              <w:pStyle w:val="ColorfulList-Accent11"/>
              <w:ind w:left="0" w:firstLine="720"/>
              <w:rPr>
                <w:rFonts w:ascii="Times New Roman" w:hAnsi="Times New Roman"/>
              </w:rPr>
            </w:pPr>
            <w:r>
              <w:rPr>
                <w:rFonts w:ascii="Times New Roman" w:hAnsi="Times New Roman"/>
              </w:rPr>
              <w:t xml:space="preserve">Students </w:t>
            </w:r>
            <w:r w:rsidR="00704D9A" w:rsidRPr="000970B6">
              <w:rPr>
                <w:rFonts w:ascii="Times New Roman" w:hAnsi="Times New Roman"/>
              </w:rPr>
              <w:t xml:space="preserve">examine the concept of “madness” as it has been applied to women from historical, psychological, literary, social, and feminist perspectives.  We will examine the effects that patriarchal power, in conjunction with the impact of race, class and sexual identity, have had on perceptions of female madness.  By focusing on the ways women are constructed as “sick,” and by analyzing how they have been systematically treated, </w:t>
            </w:r>
            <w:r w:rsidR="00741789">
              <w:rPr>
                <w:rFonts w:ascii="Times New Roman" w:hAnsi="Times New Roman"/>
              </w:rPr>
              <w:t>s</w:t>
            </w:r>
            <w:r>
              <w:rPr>
                <w:rFonts w:ascii="Times New Roman" w:hAnsi="Times New Roman"/>
              </w:rPr>
              <w:t xml:space="preserve">tudents can </w:t>
            </w:r>
            <w:r w:rsidR="00741789">
              <w:rPr>
                <w:rFonts w:ascii="Times New Roman" w:hAnsi="Times New Roman"/>
              </w:rPr>
              <w:t>e</w:t>
            </w:r>
            <w:r w:rsidR="00704D9A" w:rsidRPr="000970B6">
              <w:rPr>
                <w:rFonts w:ascii="Times New Roman" w:hAnsi="Times New Roman"/>
              </w:rPr>
              <w:t>xplore the viewpoints of women who feel a sense of psychic dislocation in their lives.</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6340BD32" w:rsidR="00F64260" w:rsidRPr="00B605CE" w:rsidRDefault="00C70EE8" w:rsidP="00B862BF">
            <w:pPr>
              <w:rPr>
                <w:b/>
              </w:rPr>
            </w:pPr>
            <w:bookmarkStart w:id="9" w:name="date_submitted"/>
            <w:bookmarkEnd w:id="9"/>
            <w:r>
              <w:rPr>
                <w:b/>
              </w:rPr>
              <w:t>March 26, 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15EE9C9" w:rsidR="00F64260" w:rsidRPr="00B605CE" w:rsidRDefault="00704D9A"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713B99E2" w:rsidR="00F64260" w:rsidRPr="00C25F9D" w:rsidRDefault="00704D9A"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C4678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68B7973" w:rsidR="00F64260" w:rsidRPr="00C25F9D" w:rsidRDefault="00704D9A"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C4678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5D357605" w:rsidR="00F64260" w:rsidRPr="00C25F9D" w:rsidRDefault="00704D9A"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C4678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66FD86A4" w:rsidR="00F64260" w:rsidRPr="00C25F9D" w:rsidRDefault="00704D9A"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AD04BED" w:rsidR="00F64260" w:rsidRPr="00B649C4" w:rsidRDefault="00FF2A40" w:rsidP="00C25F9D">
            <w:pPr>
              <w:rPr>
                <w:b/>
              </w:rPr>
            </w:pPr>
            <w:bookmarkStart w:id="16" w:name="prog_impact"/>
            <w:bookmarkEnd w:id="16"/>
            <w:r>
              <w:rPr>
                <w:b/>
              </w:rPr>
              <w:t>The addition of this elective</w:t>
            </w:r>
            <w:r w:rsidR="00903218">
              <w:rPr>
                <w:b/>
              </w:rPr>
              <w:t xml:space="preserve"> in the Gender and Women’s Studies program</w:t>
            </w:r>
            <w:r>
              <w:rPr>
                <w:b/>
              </w:rPr>
              <w:t xml:space="preserve"> broadens the </w:t>
            </w:r>
            <w:r w:rsidR="00903218">
              <w:rPr>
                <w:b/>
              </w:rPr>
              <w:t xml:space="preserve">interdisciplinary </w:t>
            </w:r>
            <w:r w:rsidR="00004D9B">
              <w:rPr>
                <w:b/>
              </w:rPr>
              <w:t xml:space="preserve">course </w:t>
            </w:r>
            <w:r>
              <w:rPr>
                <w:b/>
              </w:rPr>
              <w:t>options available to students</w:t>
            </w:r>
            <w:r w:rsidR="00903218">
              <w:rPr>
                <w:b/>
              </w:rPr>
              <w:t xml:space="preserve"> in the program.</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76D565F4" w:rsidR="00F64260" w:rsidRPr="00B649C4" w:rsidRDefault="00704D9A" w:rsidP="00FF2A40">
            <w:pPr>
              <w:rPr>
                <w:b/>
              </w:rPr>
            </w:pPr>
            <w:bookmarkStart w:id="17" w:name="student_impact"/>
            <w:bookmarkEnd w:id="17"/>
            <w:r>
              <w:rPr>
                <w:b/>
              </w:rPr>
              <w:t>It will be beneficial for student</w:t>
            </w:r>
            <w:r w:rsidR="00085E6E">
              <w:rPr>
                <w:b/>
              </w:rPr>
              <w:t>s</w:t>
            </w:r>
            <w:r>
              <w:rPr>
                <w:b/>
              </w:rPr>
              <w:t xml:space="preserve"> to </w:t>
            </w:r>
            <w:r w:rsidR="00FF2A40">
              <w:rPr>
                <w:b/>
              </w:rPr>
              <w:t xml:space="preserve">know </w:t>
            </w:r>
            <w:r>
              <w:rPr>
                <w:b/>
              </w:rPr>
              <w:t>this course</w:t>
            </w:r>
            <w:r w:rsidR="00FF2A40">
              <w:rPr>
                <w:b/>
              </w:rPr>
              <w:t xml:space="preserve"> will be offered regularly.</w:t>
            </w:r>
            <w:r w:rsidR="000841A8">
              <w:rPr>
                <w:b/>
              </w:rPr>
              <w:t xml:space="preserve"> </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3BE5A6B6" w:rsidR="00F64260" w:rsidRPr="009F029C" w:rsidRDefault="00C70EE8" w:rsidP="00501C18">
            <w:pPr>
              <w:spacing w:line="240" w:lineRule="auto"/>
              <w:rPr>
                <w:b/>
              </w:rPr>
            </w:pPr>
            <w:r>
              <w:rPr>
                <w:b/>
              </w:rPr>
              <w:t>GEND 355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2BF43267" w:rsidR="00F64260" w:rsidRPr="009F029C" w:rsidRDefault="00501C18" w:rsidP="001429AA">
            <w:pPr>
              <w:spacing w:line="240" w:lineRule="auto"/>
              <w:rPr>
                <w:b/>
              </w:rPr>
            </w:pPr>
            <w:r>
              <w:rPr>
                <w:b/>
              </w:rPr>
              <w:t>Women and Madness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6F215048" w:rsidR="00F64260" w:rsidRPr="009F029C" w:rsidRDefault="00501C18" w:rsidP="00741789">
            <w:pPr>
              <w:spacing w:line="240" w:lineRule="auto"/>
              <w:rPr>
                <w:b/>
              </w:rPr>
            </w:pPr>
            <w:r>
              <w:rPr>
                <w:rFonts w:ascii="Calibri" w:hAnsi="Calibri"/>
                <w:b/>
                <w:bCs/>
              </w:rPr>
              <w:t xml:space="preserve">Students </w:t>
            </w:r>
            <w:r w:rsidR="00741789">
              <w:rPr>
                <w:rFonts w:ascii="Calibri" w:hAnsi="Calibri"/>
                <w:b/>
                <w:bCs/>
              </w:rPr>
              <w:t xml:space="preserve">consider patriarchal power, race, class and sexual identity in the development of </w:t>
            </w:r>
            <w:r w:rsidR="00A61795">
              <w:rPr>
                <w:rFonts w:ascii="Calibri" w:hAnsi="Calibri"/>
                <w:b/>
                <w:bCs/>
              </w:rPr>
              <w:t xml:space="preserve">the </w:t>
            </w:r>
            <w:r w:rsidR="00741789">
              <w:rPr>
                <w:rFonts w:ascii="Calibri" w:hAnsi="Calibri"/>
                <w:b/>
                <w:bCs/>
              </w:rPr>
              <w:t>concept of women’s ‘madness</w:t>
            </w:r>
            <w:r w:rsidR="00C4678A">
              <w:rPr>
                <w:rFonts w:ascii="Calibri" w:hAnsi="Calibri"/>
                <w:b/>
                <w:bCs/>
              </w:rPr>
              <w:t>,</w:t>
            </w:r>
            <w:bookmarkStart w:id="22" w:name="_GoBack"/>
            <w:bookmarkEnd w:id="22"/>
            <w:r w:rsidR="00741789">
              <w:rPr>
                <w:rFonts w:ascii="Calibri" w:hAnsi="Calibri"/>
                <w:b/>
                <w:bCs/>
              </w:rPr>
              <w:t xml:space="preserve">’ and </w:t>
            </w:r>
            <w:r>
              <w:rPr>
                <w:rFonts w:ascii="Calibri" w:hAnsi="Calibri"/>
                <w:b/>
                <w:bCs/>
              </w:rPr>
              <w:t xml:space="preserve">examine </w:t>
            </w:r>
            <w:r w:rsidR="00741789">
              <w:rPr>
                <w:rFonts w:ascii="Calibri" w:hAnsi="Calibri"/>
                <w:b/>
                <w:bCs/>
              </w:rPr>
              <w:t xml:space="preserve">it </w:t>
            </w:r>
            <w:r>
              <w:rPr>
                <w:rFonts w:ascii="Calibri" w:hAnsi="Calibri"/>
                <w:b/>
                <w:bCs/>
              </w:rPr>
              <w:t>from historical, psychological, literary, s</w:t>
            </w:r>
            <w:r w:rsidR="00741789">
              <w:rPr>
                <w:rFonts w:ascii="Calibri" w:hAnsi="Calibri"/>
                <w:b/>
                <w:bCs/>
              </w:rPr>
              <w:t>ocial and feminist perspectives.</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135E68A1" w:rsidR="00F64260" w:rsidRPr="009F029C" w:rsidRDefault="0041477E" w:rsidP="001429AA">
            <w:pPr>
              <w:spacing w:line="240" w:lineRule="auto"/>
              <w:rPr>
                <w:b/>
              </w:rPr>
            </w:pPr>
            <w:r>
              <w:rPr>
                <w:b/>
              </w:rPr>
              <w:t>GEND 200 or consent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7777777" w:rsidR="00F64260" w:rsidRPr="009F029C" w:rsidRDefault="00F64260" w:rsidP="000A36CD">
            <w:pPr>
              <w:spacing w:line="240" w:lineRule="auto"/>
              <w:rPr>
                <w:b/>
                <w:sz w:val="20"/>
              </w:rPr>
            </w:pPr>
            <w:bookmarkStart w:id="24" w:name="offered"/>
            <w:r w:rsidRPr="009F029C">
              <w:rPr>
                <w:b/>
                <w:sz w:val="20"/>
              </w:rPr>
              <w:t xml:space="preserve">Fall  </w:t>
            </w:r>
            <w:bookmarkEnd w:id="24"/>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77777777" w:rsidR="00F64260" w:rsidRPr="009F029C" w:rsidRDefault="00F64260" w:rsidP="000A36CD">
            <w:pPr>
              <w:spacing w:line="240" w:lineRule="auto"/>
              <w:rPr>
                <w:b/>
                <w:sz w:val="20"/>
              </w:rPr>
            </w:pPr>
            <w:r w:rsidRPr="009F029C">
              <w:rPr>
                <w:b/>
                <w:sz w:val="20"/>
              </w:rPr>
              <w:t>Even years |  Odd years | Annually</w:t>
            </w:r>
          </w:p>
          <w:p w14:paraId="08F2FAD3" w14:textId="0C6B3B4E" w:rsidR="00F64260" w:rsidRPr="009F029C" w:rsidRDefault="00C4678A" w:rsidP="000A36CD">
            <w:pPr>
              <w:spacing w:line="240" w:lineRule="auto"/>
              <w:rPr>
                <w:b/>
                <w:sz w:val="20"/>
              </w:rPr>
            </w:pPr>
            <w:hyperlink r:id="rId9"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As needed</w:t>
            </w:r>
          </w:p>
        </w:tc>
        <w:tc>
          <w:tcPr>
            <w:tcW w:w="3924" w:type="dxa"/>
            <w:noWrap/>
          </w:tcPr>
          <w:p w14:paraId="67D1137F" w14:textId="6C291A08" w:rsidR="00F64260" w:rsidRPr="009F029C" w:rsidRDefault="00B53C52" w:rsidP="00C25F9D">
            <w:pPr>
              <w:spacing w:line="240" w:lineRule="auto"/>
              <w:rPr>
                <w:b/>
                <w:sz w:val="20"/>
              </w:rPr>
            </w:pPr>
            <w:r>
              <w:rPr>
                <w:b/>
                <w:sz w:val="20"/>
              </w:rPr>
              <w:t>Alternate Years</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5" w:name="contacthours"/>
            <w:bookmarkEnd w:id="25"/>
          </w:p>
        </w:tc>
        <w:tc>
          <w:tcPr>
            <w:tcW w:w="3924" w:type="dxa"/>
            <w:noWrap/>
          </w:tcPr>
          <w:p w14:paraId="57D144B9" w14:textId="5FD9232F" w:rsidR="00F64260" w:rsidRPr="009F029C" w:rsidRDefault="0041477E"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6" w:name="credits"/>
            <w:bookmarkEnd w:id="26"/>
          </w:p>
        </w:tc>
        <w:tc>
          <w:tcPr>
            <w:tcW w:w="3924" w:type="dxa"/>
            <w:noWrap/>
          </w:tcPr>
          <w:p w14:paraId="7DD4CAFF" w14:textId="2827A129" w:rsidR="00F64260" w:rsidRPr="009F029C" w:rsidRDefault="0041477E"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7" w:name="differences"/>
            <w:bookmarkEnd w:id="2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924" w:type="dxa"/>
            <w:noWrap/>
          </w:tcPr>
          <w:p w14:paraId="2CF717EE" w14:textId="3F98EC12" w:rsidR="00F64260" w:rsidRPr="009F029C" w:rsidRDefault="00F64260" w:rsidP="00C70EE8">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3A2076F" w:rsidR="00F64260" w:rsidRPr="009F029C" w:rsidRDefault="00F64260" w:rsidP="00984B36">
            <w:pPr>
              <w:spacing w:line="240" w:lineRule="auto"/>
              <w:rPr>
                <w:b/>
                <w:sz w:val="20"/>
              </w:rPr>
            </w:pPr>
            <w:bookmarkStart w:id="28" w:name="instr_methods"/>
            <w:bookmarkEnd w:id="28"/>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F3256C">
              <w:rPr>
                <w:b/>
                <w:sz w:val="20"/>
              </w:rPr>
              <w:t xml:space="preserve">Hybrid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r w:rsidR="00F3256C" w:rsidRPr="00F3256C">
              <w:rPr>
                <w:rFonts w:asciiTheme="minorHAnsi" w:eastAsia="MS Mincho" w:hAnsiTheme="minorHAnsi" w:cs="MS Mincho"/>
                <w:b/>
                <w:sz w:val="20"/>
              </w:rPr>
              <w:t>Distance Learning</w:t>
            </w:r>
          </w:p>
        </w:tc>
        <w:tc>
          <w:tcPr>
            <w:tcW w:w="3924" w:type="dxa"/>
            <w:noWrap/>
          </w:tcPr>
          <w:p w14:paraId="27D66483" w14:textId="264CB4A1" w:rsidR="00F64260" w:rsidRPr="009F029C" w:rsidRDefault="00F64260" w:rsidP="00C70EE8">
            <w:pPr>
              <w:spacing w:line="240" w:lineRule="auto"/>
              <w:rPr>
                <w:b/>
                <w:sz w:val="20"/>
              </w:rPr>
            </w:pPr>
            <w:r w:rsidRPr="009F029C">
              <w:rPr>
                <w:b/>
                <w:sz w:val="20"/>
              </w:rPr>
              <w:t xml:space="preserve">Lecture  Seminar  </w:t>
            </w:r>
            <w:r w:rsidRPr="009F029C">
              <w:rPr>
                <w:rFonts w:ascii="MS Mincho" w:eastAsia="MS Mincho" w:hAnsi="MS Mincho" w:cs="MS Mincho"/>
                <w:b/>
                <w:sz w:val="20"/>
              </w:rPr>
              <w:t xml:space="preserve">| </w:t>
            </w:r>
            <w:r w:rsidRPr="009F029C">
              <w:rPr>
                <w:b/>
                <w:sz w:val="20"/>
              </w:rPr>
              <w:t xml:space="preserve">Small group | Individual |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F3256C" w:rsidRPr="002D194C">
                <w:rPr>
                  <w:rStyle w:val="Hyperlink"/>
                  <w:rFonts w:asciiTheme="minorHAnsi" w:eastAsia="MS Mincho" w:hAnsiTheme="minorHAnsi" w:cs="MS Mincho"/>
                  <w:b/>
                  <w:sz w:val="20"/>
                </w:rPr>
                <w:t>Distance Learning</w:t>
              </w:r>
            </w:hyperlink>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777777" w:rsidR="00F64260" w:rsidRPr="009F029C" w:rsidRDefault="00F64260" w:rsidP="00A87611">
            <w:pPr>
              <w:spacing w:line="240" w:lineRule="auto"/>
              <w:rPr>
                <w:b/>
                <w:sz w:val="20"/>
              </w:rPr>
            </w:pPr>
            <w:bookmarkStart w:id="29" w:name="required"/>
            <w:bookmarkEnd w:id="29"/>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442E5788" w14:textId="62BB0EEB" w:rsidR="00F64260" w:rsidRPr="009F029C" w:rsidRDefault="00F64260" w:rsidP="00501C18">
            <w:pPr>
              <w:spacing w:line="240" w:lineRule="auto"/>
              <w:rPr>
                <w:b/>
                <w:sz w:val="20"/>
              </w:rPr>
            </w:pPr>
            <w:r>
              <w:rPr>
                <w:b/>
                <w:sz w:val="20"/>
              </w:rPr>
              <w:t xml:space="preserve">Free elective </w:t>
            </w:r>
            <w:r w:rsidR="00BA2D51">
              <w:rPr>
                <w:b/>
                <w:sz w:val="20"/>
              </w:rPr>
              <w:t xml:space="preserve"> and </w:t>
            </w:r>
            <w:r w:rsidR="00BA2D51" w:rsidRPr="009F029C">
              <w:rPr>
                <w:b/>
                <w:sz w:val="20"/>
              </w:rPr>
              <w:t>Restricted elective for major/mino</w:t>
            </w:r>
            <w:r w:rsidR="00BA2D51">
              <w:rPr>
                <w:b/>
                <w:sz w:val="20"/>
              </w:rPr>
              <w:t>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7F884D62" w:rsidR="00F64260" w:rsidRPr="009F029C" w:rsidRDefault="00501C18" w:rsidP="00C70EE8">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30" w:name="ge"/>
            <w:bookmarkEnd w:id="30"/>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3715D44D"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3BB64C6"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31" w:name="performance"/>
            <w:bookmarkEnd w:id="31"/>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4C402837" w:rsidR="00F64260" w:rsidRPr="009F029C" w:rsidRDefault="00F64260" w:rsidP="0027634D">
            <w:pPr>
              <w:spacing w:line="240" w:lineRule="auto"/>
              <w:rPr>
                <w:b/>
                <w:sz w:val="20"/>
              </w:rPr>
            </w:pPr>
            <w:r w:rsidRPr="009F029C">
              <w:rPr>
                <w:b/>
                <w:sz w:val="20"/>
              </w:rPr>
              <w:t xml:space="preserve">Class Work  </w:t>
            </w:r>
          </w:p>
          <w:p w14:paraId="20673D6D" w14:textId="18A9C789" w:rsidR="00F64260" w:rsidRPr="009F029C" w:rsidRDefault="00F64260" w:rsidP="0027634D">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5B7E55AD"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2" w:name="competing"/>
            <w:bookmarkEnd w:id="3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C4678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C4678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1257D502" w14:textId="77777777">
        <w:trPr>
          <w:cantSplit/>
        </w:trPr>
        <w:tc>
          <w:tcPr>
            <w:tcW w:w="4518" w:type="dxa"/>
          </w:tcPr>
          <w:p w14:paraId="7BF35538" w14:textId="77777777" w:rsidR="00501C18" w:rsidRDefault="00501C18" w:rsidP="00501C18">
            <w:bookmarkStart w:id="33" w:name="outcomes"/>
            <w:bookmarkEnd w:id="33"/>
            <w:r>
              <w:t>1 -- acquire a greater understanding of the mental health system, including diagnosis, treatment, and recovery</w:t>
            </w:r>
          </w:p>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3700CB25" w:rsidR="00F64260" w:rsidRDefault="00501C18">
            <w:pPr>
              <w:spacing w:line="240" w:lineRule="auto"/>
            </w:pPr>
            <w:r>
              <w:t>See B 15</w:t>
            </w:r>
          </w:p>
        </w:tc>
      </w:tr>
      <w:tr w:rsidR="00F64260" w14:paraId="017267C2" w14:textId="77777777" w:rsidTr="00CC03A7">
        <w:tc>
          <w:tcPr>
            <w:tcW w:w="4518" w:type="dxa"/>
          </w:tcPr>
          <w:p w14:paraId="635CEC95" w14:textId="77777777" w:rsidR="00501C18" w:rsidRDefault="00501C18" w:rsidP="00501C18">
            <w:r>
              <w:t xml:space="preserve">2 -- develop the language to communicate (both orally and through writing) about </w:t>
            </w:r>
            <w:r>
              <w:lastRenderedPageBreak/>
              <w:t>mental health diagnoses related from a gender-informed lens</w:t>
            </w:r>
          </w:p>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4D62CAEC" w:rsidR="00F64260" w:rsidRDefault="00F64260" w:rsidP="00AE7A3D">
            <w:pPr>
              <w:spacing w:line="240" w:lineRule="auto"/>
            </w:pPr>
          </w:p>
        </w:tc>
      </w:tr>
      <w:tr w:rsidR="00501C18" w14:paraId="4A60183C" w14:textId="77777777" w:rsidTr="00CC03A7">
        <w:tc>
          <w:tcPr>
            <w:tcW w:w="4518" w:type="dxa"/>
          </w:tcPr>
          <w:p w14:paraId="284D8979" w14:textId="77777777" w:rsidR="00501C18" w:rsidRDefault="00501C18" w:rsidP="00501C18">
            <w:r>
              <w:lastRenderedPageBreak/>
              <w:t>3 -- examine and interpret psychological texts; synthesize and integrate them with a gender-informed lens</w:t>
            </w:r>
          </w:p>
          <w:p w14:paraId="0A8597BC" w14:textId="77777777" w:rsidR="00501C18" w:rsidRDefault="00501C18" w:rsidP="00501C18"/>
        </w:tc>
        <w:tc>
          <w:tcPr>
            <w:tcW w:w="1710" w:type="dxa"/>
          </w:tcPr>
          <w:p w14:paraId="421AAD23" w14:textId="77777777" w:rsidR="00501C18" w:rsidRDefault="00501C18">
            <w:pPr>
              <w:spacing w:line="240" w:lineRule="auto"/>
            </w:pPr>
          </w:p>
        </w:tc>
        <w:tc>
          <w:tcPr>
            <w:tcW w:w="4788" w:type="dxa"/>
          </w:tcPr>
          <w:p w14:paraId="1470E724" w14:textId="77777777" w:rsidR="00501C18" w:rsidRDefault="00501C18" w:rsidP="00AE7A3D">
            <w:pPr>
              <w:spacing w:line="240" w:lineRule="auto"/>
            </w:pPr>
          </w:p>
        </w:tc>
      </w:tr>
      <w:tr w:rsidR="00501C18" w14:paraId="061A4C78" w14:textId="77777777" w:rsidTr="00CC03A7">
        <w:tc>
          <w:tcPr>
            <w:tcW w:w="4518" w:type="dxa"/>
          </w:tcPr>
          <w:p w14:paraId="56EA2F99" w14:textId="77777777" w:rsidR="00501C18" w:rsidRDefault="00501C18" w:rsidP="00501C18">
            <w:r>
              <w:t>4 -- understand theoretical aspects of the mental health system and identify areas where there may be gender bias</w:t>
            </w:r>
          </w:p>
          <w:p w14:paraId="6D3EE121" w14:textId="77777777" w:rsidR="00501C18" w:rsidRDefault="00501C18" w:rsidP="00501C18"/>
        </w:tc>
        <w:tc>
          <w:tcPr>
            <w:tcW w:w="1710" w:type="dxa"/>
          </w:tcPr>
          <w:p w14:paraId="204FAB99" w14:textId="77777777" w:rsidR="00501C18" w:rsidRDefault="00501C18">
            <w:pPr>
              <w:spacing w:line="240" w:lineRule="auto"/>
            </w:pPr>
          </w:p>
        </w:tc>
        <w:tc>
          <w:tcPr>
            <w:tcW w:w="4788" w:type="dxa"/>
          </w:tcPr>
          <w:p w14:paraId="2B76C2C2" w14:textId="77777777" w:rsidR="00501C18" w:rsidRDefault="00501C18" w:rsidP="00AE7A3D">
            <w:pPr>
              <w:spacing w:line="240" w:lineRule="auto"/>
            </w:pPr>
          </w:p>
        </w:tc>
      </w:tr>
      <w:tr w:rsidR="00501C18" w14:paraId="377AF7FD" w14:textId="77777777" w:rsidTr="00CC03A7">
        <w:tc>
          <w:tcPr>
            <w:tcW w:w="4518" w:type="dxa"/>
          </w:tcPr>
          <w:p w14:paraId="15EF1D59" w14:textId="77777777" w:rsidR="00501C18" w:rsidRDefault="00501C18" w:rsidP="00501C18">
            <w:r>
              <w:t>5 -- </w:t>
            </w:r>
            <w:r>
              <w:rPr>
                <w:color w:val="000000"/>
                <w:sz w:val="20"/>
                <w:szCs w:val="20"/>
              </w:rPr>
              <w:t> a</w:t>
            </w:r>
            <w:r>
              <w:rPr>
                <w:sz w:val="19"/>
                <w:szCs w:val="19"/>
              </w:rPr>
              <w:t>cquire an understanding of and respect for difference in regards to gender, age, ability, class, ethnicity, race, religion, sexual orientation and national origin as it relates to gender and the mental health system</w:t>
            </w:r>
          </w:p>
          <w:p w14:paraId="11459F66" w14:textId="77777777" w:rsidR="00501C18" w:rsidRDefault="00501C18" w:rsidP="00501C18"/>
          <w:p w14:paraId="1D947C6F" w14:textId="77777777" w:rsidR="00501C18" w:rsidRDefault="00501C18" w:rsidP="00501C18"/>
        </w:tc>
        <w:tc>
          <w:tcPr>
            <w:tcW w:w="1710" w:type="dxa"/>
          </w:tcPr>
          <w:p w14:paraId="64765EF3" w14:textId="77777777" w:rsidR="00501C18" w:rsidRDefault="00501C18">
            <w:pPr>
              <w:spacing w:line="240" w:lineRule="auto"/>
            </w:pPr>
          </w:p>
        </w:tc>
        <w:tc>
          <w:tcPr>
            <w:tcW w:w="4788" w:type="dxa"/>
          </w:tcPr>
          <w:p w14:paraId="2C258C0F" w14:textId="77777777" w:rsidR="00501C18" w:rsidRDefault="00501C18"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5267209A" w14:textId="77777777" w:rsidR="00074E90" w:rsidRDefault="00074E90" w:rsidP="009B1E46">
            <w:pPr>
              <w:pStyle w:val="ColorfulList-Accent11"/>
              <w:ind w:left="0"/>
              <w:rPr>
                <w:rFonts w:ascii="Times New Roman" w:hAnsi="Times New Roman"/>
                <w:b/>
              </w:rPr>
            </w:pPr>
            <w:bookmarkStart w:id="34" w:name="outline"/>
            <w:bookmarkEnd w:id="34"/>
          </w:p>
          <w:p w14:paraId="6F0D24B8" w14:textId="6AD79957" w:rsidR="00074E90" w:rsidRDefault="009B1E46" w:rsidP="00074E90">
            <w:pPr>
              <w:pStyle w:val="ColorfulList-Accent11"/>
              <w:ind w:left="360" w:firstLine="360"/>
              <w:rPr>
                <w:rFonts w:ascii="Times New Roman" w:hAnsi="Times New Roman"/>
              </w:rPr>
            </w:pPr>
            <w:r>
              <w:rPr>
                <w:rFonts w:ascii="Times New Roman" w:hAnsi="Times New Roman"/>
                <w:b/>
              </w:rPr>
              <w:t xml:space="preserve">1. </w:t>
            </w:r>
            <w:r w:rsidR="00074E90">
              <w:rPr>
                <w:rFonts w:ascii="Times New Roman" w:hAnsi="Times New Roman"/>
                <w:b/>
              </w:rPr>
              <w:t xml:space="preserve"> </w:t>
            </w:r>
            <w:r w:rsidR="00074E90">
              <w:rPr>
                <w:rFonts w:ascii="Times New Roman" w:hAnsi="Times New Roman"/>
              </w:rPr>
              <w:t>Historical Perspectives</w:t>
            </w:r>
          </w:p>
          <w:p w14:paraId="228A7241" w14:textId="1A91CD54" w:rsidR="009B1E46" w:rsidRPr="009B1E46" w:rsidRDefault="009B1E46" w:rsidP="009B1E46">
            <w:pPr>
              <w:pStyle w:val="ColorfulList-Accent11"/>
              <w:numPr>
                <w:ilvl w:val="1"/>
                <w:numId w:val="12"/>
              </w:numPr>
              <w:rPr>
                <w:rFonts w:ascii="Times New Roman" w:hAnsi="Times New Roman"/>
              </w:rPr>
            </w:pPr>
            <w:r w:rsidRPr="009B1E46">
              <w:rPr>
                <w:rFonts w:ascii="Times New Roman" w:hAnsi="Times New Roman"/>
              </w:rPr>
              <w:t>Literature</w:t>
            </w:r>
          </w:p>
          <w:p w14:paraId="328A08D2" w14:textId="454F7DE1" w:rsidR="009B1E46" w:rsidRPr="000970B6" w:rsidRDefault="009B1E46" w:rsidP="009B1E46">
            <w:pPr>
              <w:pStyle w:val="ColorfulList-Accent11"/>
              <w:numPr>
                <w:ilvl w:val="1"/>
                <w:numId w:val="12"/>
              </w:numPr>
              <w:rPr>
                <w:rFonts w:ascii="Times New Roman" w:hAnsi="Times New Roman"/>
              </w:rPr>
            </w:pPr>
            <w:r>
              <w:rPr>
                <w:rFonts w:ascii="Times New Roman" w:hAnsi="Times New Roman"/>
              </w:rPr>
              <w:t>Medical science</w:t>
            </w:r>
          </w:p>
          <w:p w14:paraId="56345D92" w14:textId="7D11BB0B" w:rsidR="00074E90" w:rsidRPr="00833C09" w:rsidRDefault="009B1E46" w:rsidP="00074E90">
            <w:pPr>
              <w:pStyle w:val="ColorfulList-Accent11"/>
              <w:numPr>
                <w:ilvl w:val="1"/>
                <w:numId w:val="12"/>
              </w:numPr>
              <w:rPr>
                <w:rFonts w:ascii="Times New Roman" w:hAnsi="Times New Roman"/>
              </w:rPr>
            </w:pPr>
            <w:r>
              <w:rPr>
                <w:rFonts w:ascii="Times New Roman" w:hAnsi="Times New Roman"/>
              </w:rPr>
              <w:t>Female role in society</w:t>
            </w:r>
          </w:p>
          <w:p w14:paraId="31F69DE1" w14:textId="77777777" w:rsidR="00074E90" w:rsidRPr="00094FFA" w:rsidRDefault="00074E90" w:rsidP="00074E90">
            <w:pPr>
              <w:pStyle w:val="ColorfulList-Accent11"/>
              <w:ind w:left="2160"/>
              <w:rPr>
                <w:rFonts w:ascii="Times New Roman" w:hAnsi="Times New Roman"/>
              </w:rPr>
            </w:pPr>
          </w:p>
          <w:p w14:paraId="530FBD98" w14:textId="7EE02417" w:rsidR="00074E90" w:rsidRPr="000970B6" w:rsidRDefault="009B1E46" w:rsidP="00074E90">
            <w:pPr>
              <w:pStyle w:val="ColorfulList-Accent11"/>
              <w:ind w:left="360"/>
              <w:rPr>
                <w:rFonts w:ascii="Times New Roman" w:hAnsi="Times New Roman"/>
              </w:rPr>
            </w:pPr>
            <w:r>
              <w:rPr>
                <w:rFonts w:ascii="Times New Roman" w:hAnsi="Times New Roman"/>
                <w:b/>
              </w:rPr>
              <w:t xml:space="preserve">     2. </w:t>
            </w:r>
            <w:r w:rsidR="00074E90" w:rsidRPr="000970B6">
              <w:rPr>
                <w:rFonts w:ascii="Times New Roman" w:hAnsi="Times New Roman"/>
              </w:rPr>
              <w:t xml:space="preserve"> Diagnosis</w:t>
            </w:r>
            <w:r w:rsidR="00074E90">
              <w:rPr>
                <w:rFonts w:ascii="Times New Roman" w:hAnsi="Times New Roman"/>
              </w:rPr>
              <w:t>, Patriarchy,</w:t>
            </w:r>
            <w:r w:rsidR="00074E90" w:rsidRPr="000970B6">
              <w:rPr>
                <w:rFonts w:ascii="Times New Roman" w:hAnsi="Times New Roman"/>
              </w:rPr>
              <w:t xml:space="preserve"> and Power</w:t>
            </w:r>
          </w:p>
          <w:p w14:paraId="73351140" w14:textId="62BB6E34" w:rsidR="00074E90" w:rsidRDefault="00074E90" w:rsidP="009B1E46">
            <w:pPr>
              <w:pStyle w:val="ColorfulList-Accent11"/>
              <w:ind w:left="0"/>
              <w:rPr>
                <w:rFonts w:ascii="Times New Roman" w:hAnsi="Times New Roman"/>
              </w:rPr>
            </w:pPr>
            <w:r>
              <w:rPr>
                <w:rFonts w:ascii="Times New Roman" w:hAnsi="Times New Roman"/>
              </w:rPr>
              <w:t xml:space="preserve">    </w:t>
            </w:r>
            <w:r w:rsidR="009B1E46">
              <w:rPr>
                <w:rFonts w:ascii="Times New Roman" w:hAnsi="Times New Roman"/>
              </w:rPr>
              <w:t xml:space="preserve">            a. </w:t>
            </w:r>
            <w:r>
              <w:rPr>
                <w:rFonts w:ascii="Times New Roman" w:hAnsi="Times New Roman"/>
              </w:rPr>
              <w:t xml:space="preserve"> Bipolar Disorder</w:t>
            </w:r>
          </w:p>
          <w:p w14:paraId="55E3B46B" w14:textId="44731F8F" w:rsidR="00074E90" w:rsidRDefault="009B1E46" w:rsidP="00074E90">
            <w:pPr>
              <w:pStyle w:val="ColorfulList-Accent11"/>
              <w:rPr>
                <w:rFonts w:ascii="Times New Roman" w:hAnsi="Times New Roman"/>
              </w:rPr>
            </w:pPr>
            <w:r>
              <w:rPr>
                <w:rFonts w:ascii="Times New Roman" w:hAnsi="Times New Roman"/>
              </w:rPr>
              <w:t xml:space="preserve">     b. </w:t>
            </w:r>
            <w:r w:rsidR="00074E90">
              <w:rPr>
                <w:rFonts w:ascii="Times New Roman" w:hAnsi="Times New Roman"/>
              </w:rPr>
              <w:t>Hysteria</w:t>
            </w:r>
          </w:p>
          <w:p w14:paraId="46B019CA" w14:textId="7C935F98" w:rsidR="00074E90" w:rsidRDefault="00074E90" w:rsidP="009B1E46">
            <w:pPr>
              <w:pStyle w:val="ColorfulList-Accent11"/>
              <w:numPr>
                <w:ilvl w:val="0"/>
                <w:numId w:val="14"/>
              </w:numPr>
              <w:rPr>
                <w:rFonts w:ascii="Times New Roman" w:hAnsi="Times New Roman"/>
              </w:rPr>
            </w:pPr>
            <w:r w:rsidRPr="009B1E46">
              <w:rPr>
                <w:rFonts w:ascii="Times New Roman" w:hAnsi="Times New Roman"/>
              </w:rPr>
              <w:t>Schizophrenia and Psychosis</w:t>
            </w:r>
          </w:p>
          <w:p w14:paraId="6CDA4514" w14:textId="526D1C1F" w:rsidR="00074E90" w:rsidRPr="009B1E46" w:rsidRDefault="00074E90" w:rsidP="009B1E46">
            <w:pPr>
              <w:pStyle w:val="ColorfulList-Accent11"/>
              <w:numPr>
                <w:ilvl w:val="0"/>
                <w:numId w:val="14"/>
              </w:numPr>
              <w:rPr>
                <w:rFonts w:ascii="Times New Roman" w:hAnsi="Times New Roman"/>
              </w:rPr>
            </w:pPr>
            <w:r w:rsidRPr="009B1E46">
              <w:rPr>
                <w:rFonts w:ascii="Times New Roman" w:hAnsi="Times New Roman"/>
              </w:rPr>
              <w:t xml:space="preserve"> Eating Disorders, and Body Image</w:t>
            </w:r>
          </w:p>
          <w:p w14:paraId="1CA14BC4" w14:textId="77777777" w:rsidR="00074E90" w:rsidRPr="009B1E46" w:rsidRDefault="00074E90" w:rsidP="009B1E46">
            <w:pPr>
              <w:pStyle w:val="ColorfulList-Accent11"/>
              <w:numPr>
                <w:ilvl w:val="0"/>
                <w:numId w:val="14"/>
              </w:numPr>
              <w:rPr>
                <w:rFonts w:ascii="Times New Roman" w:hAnsi="Times New Roman"/>
              </w:rPr>
            </w:pPr>
            <w:r w:rsidRPr="009B1E46">
              <w:rPr>
                <w:rFonts w:ascii="Times New Roman" w:hAnsi="Times New Roman"/>
              </w:rPr>
              <w:t>Depression</w:t>
            </w:r>
          </w:p>
          <w:p w14:paraId="65C7BAA8" w14:textId="77777777" w:rsidR="00074E90" w:rsidRPr="009B1E46" w:rsidRDefault="00074E90" w:rsidP="00074E90">
            <w:pPr>
              <w:pStyle w:val="ColorfulList-Accent11"/>
              <w:ind w:left="360" w:firstLine="360"/>
              <w:rPr>
                <w:rFonts w:ascii="Times New Roman" w:hAnsi="Times New Roman"/>
                <w:b/>
              </w:rPr>
            </w:pPr>
          </w:p>
          <w:p w14:paraId="6E9CE5B7" w14:textId="77777777" w:rsidR="009B1E46" w:rsidRPr="009B1E46" w:rsidRDefault="009B1E46" w:rsidP="009B1E46">
            <w:pPr>
              <w:pStyle w:val="ColorfulList-Accent11"/>
              <w:rPr>
                <w:rFonts w:ascii="Times New Roman" w:hAnsi="Times New Roman"/>
              </w:rPr>
            </w:pPr>
            <w:r w:rsidRPr="009B1E46">
              <w:rPr>
                <w:rFonts w:ascii="Times New Roman" w:hAnsi="Times New Roman"/>
              </w:rPr>
              <w:t>3.  Treatment and Mistreatment of Women</w:t>
            </w:r>
            <w:r w:rsidR="00074E90" w:rsidRPr="009B1E46">
              <w:rPr>
                <w:rFonts w:ascii="Times New Roman" w:hAnsi="Times New Roman"/>
              </w:rPr>
              <w:t xml:space="preserve">      </w:t>
            </w:r>
          </w:p>
          <w:p w14:paraId="443E6F91" w14:textId="007E4727" w:rsidR="00074E90" w:rsidRPr="000970B6" w:rsidRDefault="009B1E46" w:rsidP="009B1E46">
            <w:pPr>
              <w:pStyle w:val="ColorfulList-Accent11"/>
              <w:rPr>
                <w:rFonts w:ascii="Times New Roman" w:hAnsi="Times New Roman"/>
              </w:rPr>
            </w:pPr>
            <w:r>
              <w:rPr>
                <w:rFonts w:ascii="Times New Roman" w:hAnsi="Times New Roman"/>
              </w:rPr>
              <w:t xml:space="preserve">    a. </w:t>
            </w:r>
            <w:r w:rsidR="00074E90" w:rsidRPr="000970B6">
              <w:rPr>
                <w:rFonts w:ascii="Times New Roman" w:hAnsi="Times New Roman"/>
              </w:rPr>
              <w:t>Asylums, Psychiatric Hospitals, and Subversive Interventions</w:t>
            </w:r>
          </w:p>
          <w:p w14:paraId="47397C9F" w14:textId="76A1DD99" w:rsidR="009B1E46" w:rsidRDefault="00074E90" w:rsidP="009B1E46">
            <w:pPr>
              <w:pStyle w:val="ColorfulList-Accent11"/>
              <w:numPr>
                <w:ilvl w:val="0"/>
                <w:numId w:val="15"/>
              </w:numPr>
              <w:rPr>
                <w:rFonts w:ascii="Times New Roman" w:hAnsi="Times New Roman"/>
              </w:rPr>
            </w:pPr>
            <w:r w:rsidRPr="009B1E46">
              <w:rPr>
                <w:rFonts w:ascii="Times New Roman" w:hAnsi="Times New Roman"/>
              </w:rPr>
              <w:t>Psychotherapy</w:t>
            </w:r>
          </w:p>
          <w:p w14:paraId="5B8066AD" w14:textId="05B63F62" w:rsidR="00074E90" w:rsidRPr="009B1E46" w:rsidRDefault="00074E90" w:rsidP="009B1E46">
            <w:pPr>
              <w:pStyle w:val="ColorfulList-Accent11"/>
              <w:numPr>
                <w:ilvl w:val="0"/>
                <w:numId w:val="15"/>
              </w:numPr>
              <w:rPr>
                <w:rFonts w:ascii="Times New Roman" w:hAnsi="Times New Roman"/>
              </w:rPr>
            </w:pPr>
            <w:r w:rsidRPr="009B1E46">
              <w:rPr>
                <w:rFonts w:ascii="Times New Roman" w:hAnsi="Times New Roman"/>
              </w:rPr>
              <w:t xml:space="preserve">Psychopharmacology </w:t>
            </w:r>
          </w:p>
          <w:p w14:paraId="78268571" w14:textId="48A7DCAB" w:rsidR="00074E90" w:rsidRPr="009B1E46" w:rsidRDefault="00074E90" w:rsidP="009B1E46">
            <w:pPr>
              <w:pStyle w:val="ColorfulList-Accent11"/>
              <w:numPr>
                <w:ilvl w:val="0"/>
                <w:numId w:val="15"/>
              </w:numPr>
              <w:rPr>
                <w:rFonts w:ascii="Times New Roman" w:hAnsi="Times New Roman"/>
              </w:rPr>
            </w:pPr>
            <w:r w:rsidRPr="009B1E46">
              <w:rPr>
                <w:rFonts w:ascii="Times New Roman" w:hAnsi="Times New Roman"/>
              </w:rPr>
              <w:t>Madness and Adolescence</w:t>
            </w:r>
          </w:p>
          <w:p w14:paraId="654D9905" w14:textId="77777777" w:rsidR="00074E90" w:rsidRPr="000970B6" w:rsidRDefault="00074E90" w:rsidP="00074E90">
            <w:pPr>
              <w:pStyle w:val="ColorfulList-Accent11"/>
              <w:ind w:left="2160"/>
              <w:rPr>
                <w:rFonts w:ascii="Times New Roman" w:hAnsi="Times New Roman"/>
              </w:rPr>
            </w:pPr>
          </w:p>
          <w:p w14:paraId="6B2C7A47" w14:textId="584E7A8A" w:rsidR="00F64260" w:rsidRDefault="00F64260" w:rsidP="00501C18">
            <w:pPr>
              <w:pStyle w:val="ColorfulList-Accent11"/>
            </w:pPr>
          </w:p>
        </w:tc>
      </w:tr>
    </w:tbl>
    <w:p w14:paraId="74AEA3C3" w14:textId="77777777" w:rsidR="00F64260" w:rsidRDefault="00F64260">
      <w:pPr>
        <w:spacing w:line="240" w:lineRule="auto"/>
      </w:pPr>
    </w:p>
    <w:p w14:paraId="3A205DCA" w14:textId="77777777" w:rsidR="00BA2D51" w:rsidRDefault="00BA2D51" w:rsidP="001A37FB">
      <w:pPr>
        <w:pStyle w:val="Heading2"/>
        <w:jc w:val="left"/>
      </w:pPr>
    </w:p>
    <w:p w14:paraId="06BADDE3" w14:textId="77777777" w:rsidR="00BA2D51" w:rsidRDefault="00BA2D51" w:rsidP="001A37FB">
      <w:pPr>
        <w:pStyle w:val="Heading2"/>
        <w:jc w:val="left"/>
      </w:pP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24A33A31" w:rsidR="00F64260" w:rsidRDefault="00C70EE8" w:rsidP="00293639">
            <w:pPr>
              <w:spacing w:line="240" w:lineRule="auto"/>
            </w:pPr>
            <w:r>
              <w:t>Leslie Schuster</w:t>
            </w:r>
          </w:p>
        </w:tc>
        <w:tc>
          <w:tcPr>
            <w:tcW w:w="3279" w:type="dxa"/>
            <w:vAlign w:val="center"/>
          </w:tcPr>
          <w:p w14:paraId="1296A34E" w14:textId="2EF42D75" w:rsidR="00F64260" w:rsidRDefault="00C70EE8" w:rsidP="00293639">
            <w:pPr>
              <w:spacing w:line="240" w:lineRule="auto"/>
            </w:pPr>
            <w:r>
              <w:t>Director, Gender and Women’s Studies</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2B444BCD" w:rsidR="00F64260" w:rsidRDefault="00C70EE8" w:rsidP="00293639">
            <w:pPr>
              <w:spacing w:line="240" w:lineRule="auto"/>
            </w:pPr>
            <w:r>
              <w:t>Earl Simson</w:t>
            </w:r>
          </w:p>
        </w:tc>
        <w:tc>
          <w:tcPr>
            <w:tcW w:w="3279" w:type="dxa"/>
            <w:vAlign w:val="center"/>
          </w:tcPr>
          <w:p w14:paraId="3A88733C" w14:textId="6880AB9B" w:rsidR="00F64260" w:rsidRDefault="00F64260" w:rsidP="00293639">
            <w:pPr>
              <w:spacing w:line="240" w:lineRule="auto"/>
            </w:pPr>
            <w:r>
              <w:t>Dean of</w:t>
            </w:r>
            <w:r w:rsidR="00C70EE8">
              <w:t xml:space="preserve"> FAS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C4678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6EC9C" w14:textId="77777777" w:rsidR="00173B46" w:rsidRDefault="00173B46" w:rsidP="00FA78CA">
      <w:pPr>
        <w:spacing w:line="240" w:lineRule="auto"/>
      </w:pPr>
      <w:r>
        <w:separator/>
      </w:r>
    </w:p>
  </w:endnote>
  <w:endnote w:type="continuationSeparator" w:id="0">
    <w:p w14:paraId="677D9A5E" w14:textId="77777777" w:rsidR="00173B46" w:rsidRDefault="00173B4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173B46" w:rsidRPr="00310D95" w:rsidRDefault="00173B46"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4678A">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4678A">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4B00" w14:textId="77777777" w:rsidR="00173B46" w:rsidRDefault="00173B46" w:rsidP="00FA78CA">
      <w:pPr>
        <w:spacing w:line="240" w:lineRule="auto"/>
      </w:pPr>
      <w:r>
        <w:separator/>
      </w:r>
    </w:p>
  </w:footnote>
  <w:footnote w:type="continuationSeparator" w:id="0">
    <w:p w14:paraId="25340533" w14:textId="77777777" w:rsidR="00173B46" w:rsidRDefault="00173B4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D377C74" w:rsidR="00173B46" w:rsidRPr="004254A0" w:rsidRDefault="00173B4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4/5/2017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173B46" w:rsidRPr="008745BA" w:rsidRDefault="00173B4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D68F9"/>
    <w:multiLevelType w:val="hybridMultilevel"/>
    <w:tmpl w:val="C77450F6"/>
    <w:lvl w:ilvl="0" w:tplc="DDEE77E4">
      <w:start w:val="2"/>
      <w:numFmt w:val="lowerLetter"/>
      <w:lvlText w:val="%1."/>
      <w:lvlJc w:val="left"/>
      <w:pPr>
        <w:ind w:left="1320" w:hanging="360"/>
      </w:pPr>
      <w:rPr>
        <w:rFonts w:hint="default"/>
        <w:b/>
        <w:i/>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AF4435"/>
    <w:multiLevelType w:val="hybridMultilevel"/>
    <w:tmpl w:val="CFD0FFC4"/>
    <w:lvl w:ilvl="0" w:tplc="DD62B7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E5FA0"/>
    <w:multiLevelType w:val="hybridMultilevel"/>
    <w:tmpl w:val="039852CE"/>
    <w:lvl w:ilvl="0" w:tplc="49CC90BA">
      <w:start w:val="1"/>
      <w:numFmt w:val="decimal"/>
      <w:lvlText w:val="(%1)"/>
      <w:lvlJc w:val="left"/>
      <w:pPr>
        <w:ind w:left="780" w:hanging="420"/>
      </w:pPr>
      <w:rPr>
        <w:rFonts w:hint="default"/>
        <w:b w:val="0"/>
      </w:rPr>
    </w:lvl>
    <w:lvl w:ilvl="1" w:tplc="10583EF6">
      <w:start w:val="1"/>
      <w:numFmt w:val="lowerLetter"/>
      <w:lvlText w:val="%2."/>
      <w:lvlJc w:val="left"/>
      <w:pPr>
        <w:ind w:left="1440" w:hanging="360"/>
      </w:pPr>
      <w:rPr>
        <w:rFonts w:ascii="Times New Roman" w:eastAsia="Cambr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E0C7E"/>
    <w:multiLevelType w:val="multilevel"/>
    <w:tmpl w:val="0409001D"/>
    <w:lvl w:ilvl="0">
      <w:start w:val="1"/>
      <w:numFmt w:val="decimal"/>
      <w:lvlText w:val="%1)"/>
      <w:lvlJc w:val="left"/>
      <w:pPr>
        <w:ind w:left="630" w:hanging="360"/>
      </w:p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nsid w:val="7DB600A4"/>
    <w:multiLevelType w:val="hybridMultilevel"/>
    <w:tmpl w:val="DB10A5CA"/>
    <w:lvl w:ilvl="0" w:tplc="43B26C00">
      <w:start w:val="3"/>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1"/>
  </w:num>
  <w:num w:numId="2">
    <w:abstractNumId w:val="5"/>
  </w:num>
  <w:num w:numId="3">
    <w:abstractNumId w:val="9"/>
  </w:num>
  <w:num w:numId="4">
    <w:abstractNumId w:val="0"/>
  </w:num>
  <w:num w:numId="5">
    <w:abstractNumId w:val="7"/>
  </w:num>
  <w:num w:numId="6">
    <w:abstractNumId w:val="12"/>
  </w:num>
  <w:num w:numId="7">
    <w:abstractNumId w:val="2"/>
  </w:num>
  <w:num w:numId="8">
    <w:abstractNumId w:val="8"/>
  </w:num>
  <w:num w:numId="9">
    <w:abstractNumId w:val="10"/>
  </w:num>
  <w:num w:numId="10">
    <w:abstractNumId w:val="6"/>
  </w:num>
  <w:num w:numId="11">
    <w:abstractNumId w:val="13"/>
  </w:num>
  <w:num w:numId="12">
    <w:abstractNumId w:val="4"/>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4D9B"/>
    <w:rsid w:val="00005535"/>
    <w:rsid w:val="00010085"/>
    <w:rsid w:val="00013152"/>
    <w:rsid w:val="000301C7"/>
    <w:rsid w:val="0004554C"/>
    <w:rsid w:val="000556B3"/>
    <w:rsid w:val="00074E90"/>
    <w:rsid w:val="000810FF"/>
    <w:rsid w:val="000841A8"/>
    <w:rsid w:val="00085E6E"/>
    <w:rsid w:val="0009074B"/>
    <w:rsid w:val="000A36CD"/>
    <w:rsid w:val="000D1497"/>
    <w:rsid w:val="000D21F2"/>
    <w:rsid w:val="000E2CBA"/>
    <w:rsid w:val="001010FA"/>
    <w:rsid w:val="00101BA4"/>
    <w:rsid w:val="0010291E"/>
    <w:rsid w:val="0011690A"/>
    <w:rsid w:val="00120C12"/>
    <w:rsid w:val="001278A4"/>
    <w:rsid w:val="0013176C"/>
    <w:rsid w:val="00131B87"/>
    <w:rsid w:val="001429AA"/>
    <w:rsid w:val="00173B46"/>
    <w:rsid w:val="00176C55"/>
    <w:rsid w:val="00181A4B"/>
    <w:rsid w:val="001A37FB"/>
    <w:rsid w:val="001A51ED"/>
    <w:rsid w:val="001B2E3A"/>
    <w:rsid w:val="0020058E"/>
    <w:rsid w:val="00237355"/>
    <w:rsid w:val="0026461B"/>
    <w:rsid w:val="0027219D"/>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7492"/>
    <w:rsid w:val="00345149"/>
    <w:rsid w:val="00376A8B"/>
    <w:rsid w:val="003A45F6"/>
    <w:rsid w:val="003B4A52"/>
    <w:rsid w:val="003C1A54"/>
    <w:rsid w:val="003C511E"/>
    <w:rsid w:val="003D7372"/>
    <w:rsid w:val="003F099C"/>
    <w:rsid w:val="003F4E82"/>
    <w:rsid w:val="00402602"/>
    <w:rsid w:val="0041477E"/>
    <w:rsid w:val="004254A0"/>
    <w:rsid w:val="004313E6"/>
    <w:rsid w:val="004403BD"/>
    <w:rsid w:val="00442EEA"/>
    <w:rsid w:val="004779B4"/>
    <w:rsid w:val="004E57C5"/>
    <w:rsid w:val="00501C18"/>
    <w:rsid w:val="005473BC"/>
    <w:rsid w:val="005873E3"/>
    <w:rsid w:val="005B1049"/>
    <w:rsid w:val="005C23BD"/>
    <w:rsid w:val="005C3F83"/>
    <w:rsid w:val="005C7F98"/>
    <w:rsid w:val="005D389E"/>
    <w:rsid w:val="005F2A05"/>
    <w:rsid w:val="00670869"/>
    <w:rsid w:val="006761E1"/>
    <w:rsid w:val="006970B0"/>
    <w:rsid w:val="006E3AF2"/>
    <w:rsid w:val="006E6680"/>
    <w:rsid w:val="006F7F90"/>
    <w:rsid w:val="00704CFF"/>
    <w:rsid w:val="00704D9A"/>
    <w:rsid w:val="00706745"/>
    <w:rsid w:val="007072F7"/>
    <w:rsid w:val="00741789"/>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1081"/>
    <w:rsid w:val="0089234B"/>
    <w:rsid w:val="008927AF"/>
    <w:rsid w:val="0089400B"/>
    <w:rsid w:val="008B1F84"/>
    <w:rsid w:val="008E0FCD"/>
    <w:rsid w:val="008E3EFA"/>
    <w:rsid w:val="008F175C"/>
    <w:rsid w:val="00903218"/>
    <w:rsid w:val="00905E67"/>
    <w:rsid w:val="00936421"/>
    <w:rsid w:val="009458D2"/>
    <w:rsid w:val="00946B20"/>
    <w:rsid w:val="0098046D"/>
    <w:rsid w:val="00984B36"/>
    <w:rsid w:val="009A4E6F"/>
    <w:rsid w:val="009A58C1"/>
    <w:rsid w:val="009B1E46"/>
    <w:rsid w:val="009B4B02"/>
    <w:rsid w:val="009C1440"/>
    <w:rsid w:val="009F029C"/>
    <w:rsid w:val="009F2F3E"/>
    <w:rsid w:val="009F41DC"/>
    <w:rsid w:val="00A01611"/>
    <w:rsid w:val="00A04A92"/>
    <w:rsid w:val="00A06E22"/>
    <w:rsid w:val="00A11DCD"/>
    <w:rsid w:val="00A32214"/>
    <w:rsid w:val="00A442D7"/>
    <w:rsid w:val="00A54783"/>
    <w:rsid w:val="00A5525B"/>
    <w:rsid w:val="00A56D5F"/>
    <w:rsid w:val="00A61795"/>
    <w:rsid w:val="00A6264E"/>
    <w:rsid w:val="00A76B76"/>
    <w:rsid w:val="00A83A6C"/>
    <w:rsid w:val="00A85BAB"/>
    <w:rsid w:val="00A87611"/>
    <w:rsid w:val="00A94B5A"/>
    <w:rsid w:val="00AA3E61"/>
    <w:rsid w:val="00AC3032"/>
    <w:rsid w:val="00AE78C2"/>
    <w:rsid w:val="00AE7A3D"/>
    <w:rsid w:val="00B12BAB"/>
    <w:rsid w:val="00B20954"/>
    <w:rsid w:val="00B24AAC"/>
    <w:rsid w:val="00B26F16"/>
    <w:rsid w:val="00B35315"/>
    <w:rsid w:val="00B4771F"/>
    <w:rsid w:val="00B4784B"/>
    <w:rsid w:val="00B51B79"/>
    <w:rsid w:val="00B53C52"/>
    <w:rsid w:val="00B605CE"/>
    <w:rsid w:val="00B649C4"/>
    <w:rsid w:val="00B82B64"/>
    <w:rsid w:val="00B85F49"/>
    <w:rsid w:val="00B862BF"/>
    <w:rsid w:val="00B87B39"/>
    <w:rsid w:val="00B97B9D"/>
    <w:rsid w:val="00BA2D51"/>
    <w:rsid w:val="00BB11B9"/>
    <w:rsid w:val="00BC42B6"/>
    <w:rsid w:val="00BE4341"/>
    <w:rsid w:val="00BF1795"/>
    <w:rsid w:val="00C0654C"/>
    <w:rsid w:val="00C11283"/>
    <w:rsid w:val="00C25F9D"/>
    <w:rsid w:val="00C31E83"/>
    <w:rsid w:val="00C344AB"/>
    <w:rsid w:val="00C4678A"/>
    <w:rsid w:val="00C518C1"/>
    <w:rsid w:val="00C53751"/>
    <w:rsid w:val="00C63F4F"/>
    <w:rsid w:val="00C70EE8"/>
    <w:rsid w:val="00C94576"/>
    <w:rsid w:val="00C969FA"/>
    <w:rsid w:val="00C97577"/>
    <w:rsid w:val="00CA71A8"/>
    <w:rsid w:val="00CC03A7"/>
    <w:rsid w:val="00CC3E7A"/>
    <w:rsid w:val="00CD18DD"/>
    <w:rsid w:val="00D56C09"/>
    <w:rsid w:val="00D64DF4"/>
    <w:rsid w:val="00D65F02"/>
    <w:rsid w:val="00D75FF8"/>
    <w:rsid w:val="00DA73A0"/>
    <w:rsid w:val="00DB23D4"/>
    <w:rsid w:val="00DB63D4"/>
    <w:rsid w:val="00DD69AE"/>
    <w:rsid w:val="00DE2B7A"/>
    <w:rsid w:val="00DF4FCD"/>
    <w:rsid w:val="00DF7C07"/>
    <w:rsid w:val="00E348BA"/>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0FF2A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ColorfulList-Accent11">
    <w:name w:val="Colorful List - Accent 11"/>
    <w:basedOn w:val="Normal"/>
    <w:uiPriority w:val="34"/>
    <w:qFormat/>
    <w:rsid w:val="00704D9A"/>
    <w:pPr>
      <w:spacing w:line="240" w:lineRule="auto"/>
      <w:ind w:left="720"/>
      <w:contextualSpacing/>
    </w:pPr>
    <w:rPr>
      <w:rFonts w:eastAsia="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ColorfulList-Accent11">
    <w:name w:val="Colorful List - Accent 11"/>
    <w:basedOn w:val="Normal"/>
    <w:uiPriority w:val="34"/>
    <w:qFormat/>
    <w:rsid w:val="00704D9A"/>
    <w:pPr>
      <w:spacing w:line="240" w:lineRule="auto"/>
      <w:ind w:left="720"/>
      <w:contextualSpacing/>
    </w:pPr>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22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fuentes_4972/Downloads/Alternate%2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67Z3ZXSPZZWZ-949-92</_dlc_DocId>
    <_dlc_DocIdUrl xmlns="67887a43-7e4d-4c1c-91d7-15e417b1b8ab">
      <Url>http://www-prod.ric.edu/curriculum_committee/_layouts/15/DocIdRedir.aspx?ID=67Z3ZXSPZZWZ-949-92</Url>
      <Description>67Z3ZXSPZZWZ-949-92</Description>
    </_dlc_DocIdUrl>
  </documentManagement>
</p:properties>
</file>

<file path=customXml/itemProps1.xml><?xml version="1.0" encoding="utf-8"?>
<ds:datastoreItem xmlns:ds="http://schemas.openxmlformats.org/officeDocument/2006/customXml" ds:itemID="{030720E3-6973-4D19-8CB1-8773F4F23F1A}"/>
</file>

<file path=customXml/itemProps2.xml><?xml version="1.0" encoding="utf-8"?>
<ds:datastoreItem xmlns:ds="http://schemas.openxmlformats.org/officeDocument/2006/customXml" ds:itemID="{521D2639-97C8-412C-8D03-E0D514310080}"/>
</file>

<file path=customXml/itemProps3.xml><?xml version="1.0" encoding="utf-8"?>
<ds:datastoreItem xmlns:ds="http://schemas.openxmlformats.org/officeDocument/2006/customXml" ds:itemID="{68E1DB14-F9DD-4D66-869E-89883192D891}"/>
</file>

<file path=customXml/itemProps4.xml><?xml version="1.0" encoding="utf-8"?>
<ds:datastoreItem xmlns:ds="http://schemas.openxmlformats.org/officeDocument/2006/customXml" ds:itemID="{93D7D55B-06ED-471F-A194-491384772074}"/>
</file>

<file path=docProps/app.xml><?xml version="1.0" encoding="utf-8"?>
<Properties xmlns="http://schemas.openxmlformats.org/officeDocument/2006/extended-properties" xmlns:vt="http://schemas.openxmlformats.org/officeDocument/2006/docPropsVTypes">
  <Template>Normal.dotm</Template>
  <TotalTime>4</TotalTime>
  <Pages>4</Pages>
  <Words>2271</Words>
  <Characters>12950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2017-04-03T23:45:00Z</cp:lastPrinted>
  <dcterms:created xsi:type="dcterms:W3CDTF">2017-04-05T12:38:00Z</dcterms:created>
  <dcterms:modified xsi:type="dcterms:W3CDTF">2017-04-07T17:19:00Z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14ec58cb-f3e9-40ac-a10c-941a3c13082d</vt:lpwstr>
  </property>
</Properties>
</file>