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2EC0E" w14:textId="77777777" w:rsidR="000E024E" w:rsidRDefault="000E024E" w:rsidP="000E024E">
      <w:pPr>
        <w:pStyle w:val="Heading1"/>
        <w:framePr w:wrap="around"/>
      </w:pPr>
      <w:bookmarkStart w:id="0" w:name="92A1A9B94591491FABA296D3A1C3A049"/>
      <w:r>
        <w:t>Gerontology</w:t>
      </w:r>
      <w:bookmarkEnd w:id="0"/>
      <w:r>
        <w:fldChar w:fldCharType="begin"/>
      </w:r>
      <w:r>
        <w:instrText xml:space="preserve"> XE "Gerontology" </w:instrText>
      </w:r>
      <w:r>
        <w:fldChar w:fldCharType="end"/>
      </w:r>
    </w:p>
    <w:p w14:paraId="1946A197" w14:textId="77777777" w:rsidR="000E024E" w:rsidRDefault="000E024E" w:rsidP="000E024E">
      <w:pPr>
        <w:pStyle w:val="sc-BodyText"/>
      </w:pPr>
      <w:r>
        <w:t> </w:t>
      </w:r>
      <w:r>
        <w:br/>
      </w:r>
      <w:r>
        <w:rPr>
          <w:b/>
        </w:rPr>
        <w:t>Department of Sociology</w:t>
      </w:r>
    </w:p>
    <w:p w14:paraId="45B1E2CA" w14:textId="77777777" w:rsidR="000E024E" w:rsidRDefault="000E024E" w:rsidP="000E024E">
      <w:pPr>
        <w:pStyle w:val="sc-BodyText"/>
      </w:pPr>
      <w:r>
        <w:rPr>
          <w:b/>
        </w:rPr>
        <w:t>Gerontology Program Director:</w:t>
      </w:r>
      <w:r>
        <w:t xml:space="preserve"> Desirée Ciambrone</w:t>
      </w:r>
    </w:p>
    <w:p w14:paraId="54563D6B" w14:textId="77777777" w:rsidR="000E024E" w:rsidRDefault="000E024E" w:rsidP="000E024E">
      <w:pPr>
        <w:pStyle w:val="sc-BodyText"/>
      </w:pPr>
      <w:r>
        <w:t xml:space="preserve">Students </w:t>
      </w:r>
      <w:r>
        <w:rPr>
          <w:b/>
        </w:rPr>
        <w:t xml:space="preserve">must </w:t>
      </w:r>
      <w:r>
        <w:t>consult with their assigned advisor before they will be able to register for courses.</w:t>
      </w:r>
    </w:p>
    <w:p w14:paraId="0B7F0A24" w14:textId="77777777" w:rsidR="000E024E" w:rsidRDefault="000E024E" w:rsidP="000E024E">
      <w:pPr>
        <w:pStyle w:val="sc-AwardHeading"/>
      </w:pPr>
      <w:bookmarkStart w:id="1" w:name="07D954A1F0AB403985A2FE5A45E112FD"/>
      <w:r>
        <w:t>Gerontology Minor</w:t>
      </w:r>
      <w:bookmarkEnd w:id="1"/>
      <w:r>
        <w:fldChar w:fldCharType="begin"/>
      </w:r>
      <w:r>
        <w:instrText xml:space="preserve"> XE "Gerontology Minor" </w:instrText>
      </w:r>
      <w:r>
        <w:fldChar w:fldCharType="end"/>
      </w:r>
    </w:p>
    <w:p w14:paraId="23B4B982" w14:textId="77777777" w:rsidR="000E024E" w:rsidRDefault="000E024E" w:rsidP="000E024E">
      <w:pPr>
        <w:pStyle w:val="sc-RequirementsHeading"/>
      </w:pPr>
      <w:bookmarkStart w:id="2" w:name="F3716D98FD9041C3957EC9234223D20C"/>
      <w:r>
        <w:t>Course Requirements</w:t>
      </w:r>
      <w:bookmarkEnd w:id="2"/>
    </w:p>
    <w:p w14:paraId="673D6D11" w14:textId="77777777" w:rsidR="000E024E" w:rsidRDefault="000E024E" w:rsidP="000E024E">
      <w:pPr>
        <w:pStyle w:val="sc-RequirementsSubheading"/>
      </w:pPr>
      <w:bookmarkStart w:id="3" w:name="C2768D9558974FC9B7F07CC83D6E4740"/>
      <w:r>
        <w:t>Courses</w:t>
      </w:r>
      <w:bookmarkEnd w:id="3"/>
    </w:p>
    <w:tbl>
      <w:tblPr>
        <w:tblW w:w="0" w:type="auto"/>
        <w:tblLook w:val="04A0" w:firstRow="1" w:lastRow="0" w:firstColumn="1" w:lastColumn="0" w:noHBand="0" w:noVBand="1"/>
      </w:tblPr>
      <w:tblGrid>
        <w:gridCol w:w="1200"/>
        <w:gridCol w:w="1999"/>
        <w:gridCol w:w="450"/>
        <w:gridCol w:w="1116"/>
      </w:tblGrid>
      <w:tr w:rsidR="000E024E" w14:paraId="58B2FDD2" w14:textId="77777777" w:rsidTr="000E024E">
        <w:tc>
          <w:tcPr>
            <w:tcW w:w="1200" w:type="dxa"/>
            <w:hideMark/>
          </w:tcPr>
          <w:p w14:paraId="3A8E11E6" w14:textId="77777777" w:rsidR="000E024E" w:rsidRDefault="000E024E">
            <w:pPr>
              <w:pStyle w:val="sc-Requirement"/>
            </w:pPr>
            <w:r>
              <w:t>GRTL 314/NURS 314</w:t>
            </w:r>
          </w:p>
        </w:tc>
        <w:tc>
          <w:tcPr>
            <w:tcW w:w="2000" w:type="dxa"/>
            <w:hideMark/>
          </w:tcPr>
          <w:p w14:paraId="77516D88" w14:textId="77777777" w:rsidR="000E024E" w:rsidRDefault="000E024E">
            <w:pPr>
              <w:pStyle w:val="sc-Requirement"/>
            </w:pPr>
            <w:r>
              <w:t>Health and Aging</w:t>
            </w:r>
          </w:p>
        </w:tc>
        <w:tc>
          <w:tcPr>
            <w:tcW w:w="450" w:type="dxa"/>
            <w:hideMark/>
          </w:tcPr>
          <w:p w14:paraId="09E3F777" w14:textId="77777777" w:rsidR="000E024E" w:rsidRDefault="000E024E">
            <w:pPr>
              <w:pStyle w:val="sc-RequirementRight"/>
            </w:pPr>
            <w:r>
              <w:t>4</w:t>
            </w:r>
          </w:p>
        </w:tc>
        <w:tc>
          <w:tcPr>
            <w:tcW w:w="1116" w:type="dxa"/>
            <w:hideMark/>
          </w:tcPr>
          <w:p w14:paraId="099949DB" w14:textId="77777777" w:rsidR="000E024E" w:rsidRDefault="000E024E">
            <w:pPr>
              <w:pStyle w:val="sc-Requirement"/>
            </w:pPr>
            <w:r>
              <w:t>F, Sp, Su</w:t>
            </w:r>
          </w:p>
        </w:tc>
      </w:tr>
      <w:tr w:rsidR="000E024E" w14:paraId="787C4195" w14:textId="77777777" w:rsidTr="000E024E">
        <w:tc>
          <w:tcPr>
            <w:tcW w:w="1200" w:type="dxa"/>
          </w:tcPr>
          <w:p w14:paraId="65C04205" w14:textId="77777777" w:rsidR="000E024E" w:rsidRDefault="000E024E">
            <w:pPr>
              <w:pStyle w:val="sc-Requirement"/>
            </w:pPr>
          </w:p>
        </w:tc>
        <w:tc>
          <w:tcPr>
            <w:tcW w:w="2000" w:type="dxa"/>
            <w:hideMark/>
          </w:tcPr>
          <w:p w14:paraId="1BB1A6C4" w14:textId="77777777" w:rsidR="000E024E" w:rsidRDefault="000E024E">
            <w:pPr>
              <w:pStyle w:val="sc-Requirement"/>
            </w:pPr>
            <w:r>
              <w:t>-Or-</w:t>
            </w:r>
          </w:p>
        </w:tc>
        <w:tc>
          <w:tcPr>
            <w:tcW w:w="450" w:type="dxa"/>
          </w:tcPr>
          <w:p w14:paraId="095764BB" w14:textId="77777777" w:rsidR="000E024E" w:rsidRDefault="000E024E">
            <w:pPr>
              <w:pStyle w:val="sc-RequirementRight"/>
            </w:pPr>
          </w:p>
        </w:tc>
        <w:tc>
          <w:tcPr>
            <w:tcW w:w="1116" w:type="dxa"/>
          </w:tcPr>
          <w:p w14:paraId="78BFFDE5" w14:textId="77777777" w:rsidR="000E024E" w:rsidRDefault="000E024E">
            <w:pPr>
              <w:pStyle w:val="sc-Requirement"/>
            </w:pPr>
          </w:p>
        </w:tc>
      </w:tr>
      <w:tr w:rsidR="000E024E" w14:paraId="292C6F1A" w14:textId="77777777" w:rsidTr="000E024E">
        <w:tc>
          <w:tcPr>
            <w:tcW w:w="1200" w:type="dxa"/>
            <w:hideMark/>
          </w:tcPr>
          <w:p w14:paraId="51ECFA06" w14:textId="77777777" w:rsidR="000E024E" w:rsidRDefault="000E024E">
            <w:pPr>
              <w:pStyle w:val="sc-Requirement"/>
            </w:pPr>
            <w:r>
              <w:t>NURS 314/GRTL 314</w:t>
            </w:r>
          </w:p>
        </w:tc>
        <w:tc>
          <w:tcPr>
            <w:tcW w:w="2000" w:type="dxa"/>
            <w:hideMark/>
          </w:tcPr>
          <w:p w14:paraId="0B408CA1" w14:textId="77777777" w:rsidR="000E024E" w:rsidRDefault="000E024E">
            <w:pPr>
              <w:pStyle w:val="sc-Requirement"/>
            </w:pPr>
            <w:r>
              <w:t>Health and Aging</w:t>
            </w:r>
          </w:p>
        </w:tc>
        <w:tc>
          <w:tcPr>
            <w:tcW w:w="450" w:type="dxa"/>
            <w:hideMark/>
          </w:tcPr>
          <w:p w14:paraId="465FA4CD" w14:textId="77777777" w:rsidR="000E024E" w:rsidRDefault="000E024E">
            <w:pPr>
              <w:pStyle w:val="sc-RequirementRight"/>
            </w:pPr>
            <w:r>
              <w:t>4</w:t>
            </w:r>
          </w:p>
        </w:tc>
        <w:tc>
          <w:tcPr>
            <w:tcW w:w="1116" w:type="dxa"/>
            <w:hideMark/>
          </w:tcPr>
          <w:p w14:paraId="5E421BAC" w14:textId="77777777" w:rsidR="000E024E" w:rsidRDefault="000E024E">
            <w:pPr>
              <w:pStyle w:val="sc-Requirement"/>
            </w:pPr>
            <w:r>
              <w:t>F, Sp, Su</w:t>
            </w:r>
          </w:p>
        </w:tc>
      </w:tr>
      <w:tr w:rsidR="000E024E" w14:paraId="01773021" w14:textId="77777777" w:rsidTr="000E024E">
        <w:tc>
          <w:tcPr>
            <w:tcW w:w="1200" w:type="dxa"/>
            <w:hideMark/>
          </w:tcPr>
          <w:p w14:paraId="28AEF537" w14:textId="77777777" w:rsidR="000E024E" w:rsidRDefault="000E024E">
            <w:pPr>
              <w:pStyle w:val="sc-Requirement"/>
            </w:pPr>
            <w:r>
              <w:t>SOC 217</w:t>
            </w:r>
          </w:p>
        </w:tc>
        <w:tc>
          <w:tcPr>
            <w:tcW w:w="2000" w:type="dxa"/>
            <w:hideMark/>
          </w:tcPr>
          <w:p w14:paraId="5B01FE5E" w14:textId="77777777" w:rsidR="000E024E" w:rsidRDefault="000E024E">
            <w:pPr>
              <w:pStyle w:val="sc-Requirement"/>
            </w:pPr>
            <w:r>
              <w:t>Sociology of Aging</w:t>
            </w:r>
          </w:p>
        </w:tc>
        <w:tc>
          <w:tcPr>
            <w:tcW w:w="450" w:type="dxa"/>
            <w:hideMark/>
          </w:tcPr>
          <w:p w14:paraId="76884F9C" w14:textId="77777777" w:rsidR="000E024E" w:rsidRDefault="000E024E">
            <w:pPr>
              <w:pStyle w:val="sc-RequirementRight"/>
            </w:pPr>
            <w:r>
              <w:t>4</w:t>
            </w:r>
          </w:p>
        </w:tc>
        <w:tc>
          <w:tcPr>
            <w:tcW w:w="1116" w:type="dxa"/>
            <w:hideMark/>
          </w:tcPr>
          <w:p w14:paraId="6663105A" w14:textId="77777777" w:rsidR="000E024E" w:rsidRDefault="000E024E">
            <w:pPr>
              <w:pStyle w:val="sc-Requirement"/>
            </w:pPr>
            <w:r>
              <w:t>F, Sp, Su</w:t>
            </w:r>
          </w:p>
        </w:tc>
      </w:tr>
      <w:tr w:rsidR="000E024E" w14:paraId="4E4BFB22" w14:textId="77777777" w:rsidTr="000E024E">
        <w:tc>
          <w:tcPr>
            <w:tcW w:w="1200" w:type="dxa"/>
            <w:hideMark/>
          </w:tcPr>
          <w:p w14:paraId="547E16E3" w14:textId="77777777" w:rsidR="000E024E" w:rsidRDefault="000E024E">
            <w:pPr>
              <w:pStyle w:val="sc-Requirement"/>
            </w:pPr>
            <w:r>
              <w:t>SOC 320</w:t>
            </w:r>
          </w:p>
        </w:tc>
        <w:tc>
          <w:tcPr>
            <w:tcW w:w="2000" w:type="dxa"/>
            <w:hideMark/>
          </w:tcPr>
          <w:p w14:paraId="0440E573" w14:textId="77777777" w:rsidR="000E024E" w:rsidRDefault="000E024E">
            <w:pPr>
              <w:pStyle w:val="sc-Requirement"/>
            </w:pPr>
            <w:r>
              <w:t>Aging and the Law</w:t>
            </w:r>
          </w:p>
        </w:tc>
        <w:tc>
          <w:tcPr>
            <w:tcW w:w="450" w:type="dxa"/>
            <w:hideMark/>
          </w:tcPr>
          <w:p w14:paraId="48AF29B2" w14:textId="77777777" w:rsidR="000E024E" w:rsidRDefault="000E024E">
            <w:pPr>
              <w:pStyle w:val="sc-RequirementRight"/>
            </w:pPr>
            <w:r>
              <w:t>3</w:t>
            </w:r>
          </w:p>
        </w:tc>
        <w:tc>
          <w:tcPr>
            <w:tcW w:w="1116" w:type="dxa"/>
            <w:hideMark/>
          </w:tcPr>
          <w:p w14:paraId="02DF5EFE" w14:textId="77777777" w:rsidR="000E024E" w:rsidRDefault="000E024E">
            <w:pPr>
              <w:pStyle w:val="sc-Requirement"/>
            </w:pPr>
            <w:r>
              <w:t>Annually</w:t>
            </w:r>
          </w:p>
        </w:tc>
      </w:tr>
    </w:tbl>
    <w:p w14:paraId="53EE1E6B" w14:textId="77777777" w:rsidR="000E024E" w:rsidRDefault="000E024E" w:rsidP="000E024E">
      <w:pPr>
        <w:pStyle w:val="sc-RequirementsSubheading"/>
      </w:pPr>
      <w:bookmarkStart w:id="4" w:name="CF62203E36B3446B879A40D2C450C9E1"/>
      <w:r>
        <w:t>Practicum experience through an established means, such as ONE COURSE from</w:t>
      </w:r>
      <w:bookmarkEnd w:id="4"/>
    </w:p>
    <w:tbl>
      <w:tblPr>
        <w:tblW w:w="0" w:type="auto"/>
        <w:tblLook w:val="04A0" w:firstRow="1" w:lastRow="0" w:firstColumn="1" w:lastColumn="0" w:noHBand="0" w:noVBand="1"/>
      </w:tblPr>
      <w:tblGrid>
        <w:gridCol w:w="1199"/>
        <w:gridCol w:w="2000"/>
        <w:gridCol w:w="450"/>
        <w:gridCol w:w="1116"/>
      </w:tblGrid>
      <w:tr w:rsidR="000E024E" w14:paraId="5BDFB027" w14:textId="77777777" w:rsidTr="000E024E">
        <w:tc>
          <w:tcPr>
            <w:tcW w:w="1200" w:type="dxa"/>
            <w:hideMark/>
          </w:tcPr>
          <w:p w14:paraId="7111E242" w14:textId="77777777" w:rsidR="000E024E" w:rsidRDefault="000E024E">
            <w:pPr>
              <w:pStyle w:val="sc-Requirement"/>
            </w:pPr>
            <w:r>
              <w:t>NURS 223</w:t>
            </w:r>
          </w:p>
        </w:tc>
        <w:tc>
          <w:tcPr>
            <w:tcW w:w="2000" w:type="dxa"/>
            <w:hideMark/>
          </w:tcPr>
          <w:p w14:paraId="5621F3B0" w14:textId="77777777" w:rsidR="000E024E" w:rsidRDefault="000E024E">
            <w:pPr>
              <w:pStyle w:val="sc-Requirement"/>
            </w:pPr>
            <w:r>
              <w:t>Fundamentals of Nursing Practice</w:t>
            </w:r>
          </w:p>
        </w:tc>
        <w:tc>
          <w:tcPr>
            <w:tcW w:w="450" w:type="dxa"/>
            <w:hideMark/>
          </w:tcPr>
          <w:p w14:paraId="6F8E8E90" w14:textId="77777777" w:rsidR="000E024E" w:rsidRDefault="000E024E">
            <w:pPr>
              <w:pStyle w:val="sc-RequirementRight"/>
            </w:pPr>
            <w:r>
              <w:t>4</w:t>
            </w:r>
          </w:p>
        </w:tc>
        <w:tc>
          <w:tcPr>
            <w:tcW w:w="1116" w:type="dxa"/>
            <w:hideMark/>
          </w:tcPr>
          <w:p w14:paraId="4B000C2B" w14:textId="77777777" w:rsidR="000E024E" w:rsidRDefault="000E024E">
            <w:pPr>
              <w:pStyle w:val="sc-Requirement"/>
            </w:pPr>
            <w:r>
              <w:t>F, Sp</w:t>
            </w:r>
          </w:p>
        </w:tc>
      </w:tr>
      <w:tr w:rsidR="000E024E" w14:paraId="40EEF665" w14:textId="77777777" w:rsidTr="000E024E">
        <w:tc>
          <w:tcPr>
            <w:tcW w:w="1200" w:type="dxa"/>
            <w:hideMark/>
          </w:tcPr>
          <w:p w14:paraId="2F759C8A" w14:textId="77777777" w:rsidR="000E024E" w:rsidRDefault="000E024E">
            <w:pPr>
              <w:pStyle w:val="sc-Requirement"/>
            </w:pPr>
            <w:r>
              <w:t>POL 327</w:t>
            </w:r>
          </w:p>
        </w:tc>
        <w:tc>
          <w:tcPr>
            <w:tcW w:w="2000" w:type="dxa"/>
            <w:hideMark/>
          </w:tcPr>
          <w:p w14:paraId="4E0321D7" w14:textId="77777777" w:rsidR="000E024E" w:rsidRDefault="000E024E">
            <w:pPr>
              <w:pStyle w:val="sc-Requirement"/>
            </w:pPr>
            <w:r>
              <w:t>Internship in State Government</w:t>
            </w:r>
          </w:p>
        </w:tc>
        <w:tc>
          <w:tcPr>
            <w:tcW w:w="450" w:type="dxa"/>
            <w:hideMark/>
          </w:tcPr>
          <w:p w14:paraId="6936086C" w14:textId="77777777" w:rsidR="000E024E" w:rsidRDefault="000E024E">
            <w:pPr>
              <w:pStyle w:val="sc-RequirementRight"/>
            </w:pPr>
            <w:r>
              <w:t>4</w:t>
            </w:r>
          </w:p>
        </w:tc>
        <w:tc>
          <w:tcPr>
            <w:tcW w:w="1116" w:type="dxa"/>
            <w:hideMark/>
          </w:tcPr>
          <w:p w14:paraId="58EE16D6" w14:textId="77777777" w:rsidR="000E024E" w:rsidRDefault="000E024E">
            <w:pPr>
              <w:pStyle w:val="sc-Requirement"/>
            </w:pPr>
            <w:r>
              <w:t>Sp</w:t>
            </w:r>
          </w:p>
        </w:tc>
      </w:tr>
      <w:tr w:rsidR="000E024E" w14:paraId="62A85118" w14:textId="77777777" w:rsidTr="000E024E">
        <w:tc>
          <w:tcPr>
            <w:tcW w:w="1200" w:type="dxa"/>
            <w:hideMark/>
          </w:tcPr>
          <w:p w14:paraId="2A6F54B0" w14:textId="77777777" w:rsidR="000E024E" w:rsidRDefault="000E024E">
            <w:pPr>
              <w:pStyle w:val="sc-Requirement"/>
            </w:pPr>
            <w:r>
              <w:t>POL 328</w:t>
            </w:r>
          </w:p>
        </w:tc>
        <w:tc>
          <w:tcPr>
            <w:tcW w:w="2000" w:type="dxa"/>
            <w:hideMark/>
          </w:tcPr>
          <w:p w14:paraId="0C10AF2B" w14:textId="77777777" w:rsidR="000E024E" w:rsidRDefault="000E024E">
            <w:pPr>
              <w:pStyle w:val="sc-Requirement"/>
            </w:pPr>
            <w:r>
              <w:t>Field Experiences in the Public Sector</w:t>
            </w:r>
          </w:p>
        </w:tc>
        <w:tc>
          <w:tcPr>
            <w:tcW w:w="450" w:type="dxa"/>
            <w:hideMark/>
          </w:tcPr>
          <w:p w14:paraId="771CC62E" w14:textId="77777777" w:rsidR="000E024E" w:rsidRDefault="000E024E">
            <w:pPr>
              <w:pStyle w:val="sc-RequirementRight"/>
            </w:pPr>
            <w:r>
              <w:t>4</w:t>
            </w:r>
          </w:p>
        </w:tc>
        <w:tc>
          <w:tcPr>
            <w:tcW w:w="1116" w:type="dxa"/>
            <w:hideMark/>
          </w:tcPr>
          <w:p w14:paraId="25EBD071" w14:textId="77777777" w:rsidR="000E024E" w:rsidRDefault="000E024E">
            <w:pPr>
              <w:pStyle w:val="sc-Requirement"/>
            </w:pPr>
            <w:r>
              <w:t>F, Sp, Su</w:t>
            </w:r>
          </w:p>
        </w:tc>
      </w:tr>
      <w:tr w:rsidR="000E024E" w14:paraId="2830EBB5" w14:textId="77777777" w:rsidTr="000E024E">
        <w:tc>
          <w:tcPr>
            <w:tcW w:w="1200" w:type="dxa"/>
            <w:hideMark/>
          </w:tcPr>
          <w:p w14:paraId="6E3C01F3" w14:textId="77777777" w:rsidR="000E024E" w:rsidRDefault="000E024E">
            <w:pPr>
              <w:pStyle w:val="sc-Requirement"/>
            </w:pPr>
            <w:r>
              <w:t>SWRK 436</w:t>
            </w:r>
          </w:p>
        </w:tc>
        <w:tc>
          <w:tcPr>
            <w:tcW w:w="2000" w:type="dxa"/>
            <w:hideMark/>
          </w:tcPr>
          <w:p w14:paraId="0F23A744" w14:textId="77777777" w:rsidR="000E024E" w:rsidRDefault="000E024E">
            <w:pPr>
              <w:pStyle w:val="sc-Requirement"/>
            </w:pPr>
            <w:r>
              <w:t>Fieldwork</w:t>
            </w:r>
          </w:p>
        </w:tc>
        <w:tc>
          <w:tcPr>
            <w:tcW w:w="450" w:type="dxa"/>
            <w:hideMark/>
          </w:tcPr>
          <w:p w14:paraId="65D4830A" w14:textId="77777777" w:rsidR="000E024E" w:rsidRDefault="000E024E">
            <w:pPr>
              <w:pStyle w:val="sc-RequirementRight"/>
            </w:pPr>
            <w:r>
              <w:t>4-7</w:t>
            </w:r>
          </w:p>
        </w:tc>
        <w:tc>
          <w:tcPr>
            <w:tcW w:w="1116" w:type="dxa"/>
            <w:hideMark/>
          </w:tcPr>
          <w:p w14:paraId="24B3FE56" w14:textId="77777777" w:rsidR="000E024E" w:rsidRDefault="000E024E">
            <w:pPr>
              <w:pStyle w:val="sc-Requirement"/>
            </w:pPr>
            <w:r>
              <w:t>F</w:t>
            </w:r>
          </w:p>
        </w:tc>
      </w:tr>
      <w:tr w:rsidR="000E024E" w14:paraId="2FEA1A87" w14:textId="77777777" w:rsidTr="000E024E">
        <w:tc>
          <w:tcPr>
            <w:tcW w:w="1200" w:type="dxa"/>
            <w:hideMark/>
          </w:tcPr>
          <w:p w14:paraId="77CF36A6" w14:textId="77777777" w:rsidR="000E024E" w:rsidRDefault="000E024E">
            <w:pPr>
              <w:pStyle w:val="sc-Requirement"/>
            </w:pPr>
            <w:r>
              <w:t>SWRK 437</w:t>
            </w:r>
          </w:p>
        </w:tc>
        <w:tc>
          <w:tcPr>
            <w:tcW w:w="2000" w:type="dxa"/>
            <w:hideMark/>
          </w:tcPr>
          <w:p w14:paraId="63706B79" w14:textId="77777777" w:rsidR="000E024E" w:rsidRDefault="000E024E">
            <w:pPr>
              <w:pStyle w:val="sc-Requirement"/>
            </w:pPr>
            <w:r>
              <w:t>Advanced Fieldwork</w:t>
            </w:r>
          </w:p>
        </w:tc>
        <w:tc>
          <w:tcPr>
            <w:tcW w:w="450" w:type="dxa"/>
            <w:hideMark/>
          </w:tcPr>
          <w:p w14:paraId="6AD7F3D2" w14:textId="77777777" w:rsidR="000E024E" w:rsidRDefault="000E024E">
            <w:pPr>
              <w:pStyle w:val="sc-RequirementRight"/>
            </w:pPr>
            <w:r>
              <w:t>4-7</w:t>
            </w:r>
          </w:p>
        </w:tc>
        <w:tc>
          <w:tcPr>
            <w:tcW w:w="1116" w:type="dxa"/>
            <w:hideMark/>
          </w:tcPr>
          <w:p w14:paraId="79B1AA95" w14:textId="77777777" w:rsidR="000E024E" w:rsidRDefault="000E024E">
            <w:pPr>
              <w:pStyle w:val="sc-Requirement"/>
            </w:pPr>
            <w:r>
              <w:t>Sp</w:t>
            </w:r>
          </w:p>
        </w:tc>
      </w:tr>
      <w:tr w:rsidR="000E024E" w14:paraId="413E87D3" w14:textId="77777777" w:rsidTr="000E024E">
        <w:tc>
          <w:tcPr>
            <w:tcW w:w="1200" w:type="dxa"/>
            <w:hideMark/>
          </w:tcPr>
          <w:p w14:paraId="43088562" w14:textId="77777777" w:rsidR="000E024E" w:rsidRDefault="000E024E">
            <w:pPr>
              <w:pStyle w:val="sc-Requirement"/>
            </w:pPr>
            <w:r>
              <w:t>SOC 315</w:t>
            </w:r>
          </w:p>
        </w:tc>
        <w:tc>
          <w:tcPr>
            <w:tcW w:w="2000" w:type="dxa"/>
            <w:hideMark/>
          </w:tcPr>
          <w:p w14:paraId="38F1E05C" w14:textId="2617A4C1" w:rsidR="000E024E" w:rsidRDefault="000E024E">
            <w:pPr>
              <w:pStyle w:val="sc-Requirement"/>
            </w:pPr>
            <w:del w:id="5" w:author="Mikaila Arthur" w:date="2020-09-09T20:23:00Z">
              <w:r w:rsidDel="00E70CE8">
                <w:delText>Community</w:delText>
              </w:r>
            </w:del>
            <w:ins w:id="6" w:author="Mikaila Arthur" w:date="2020-09-09T20:23:00Z">
              <w:r w:rsidR="00E70CE8">
                <w:t>Servi</w:t>
              </w:r>
            </w:ins>
            <w:ins w:id="7" w:author="Abbotson, Susan C. W." w:date="2020-10-08T13:34:00Z">
              <w:r w:rsidR="0023466C">
                <w:t>ce</w:t>
              </w:r>
            </w:ins>
            <w:ins w:id="8" w:author="Mikaila Arthur" w:date="2020-09-09T20:23:00Z">
              <w:del w:id="9" w:author="Abbotson, Susan C. W." w:date="2020-10-08T13:34:00Z">
                <w:r w:rsidR="00E70CE8" w:rsidDel="0023466C">
                  <w:delText>ng</w:delText>
                </w:r>
              </w:del>
              <w:r w:rsidR="00E70CE8">
                <w:t xml:space="preserve"> Learning in the </w:t>
              </w:r>
            </w:ins>
            <w:ins w:id="10" w:author="Mikaila Arthur" w:date="2020-09-09T20:24:00Z">
              <w:r w:rsidR="00E70CE8">
                <w:t>Community</w:t>
              </w:r>
            </w:ins>
          </w:p>
        </w:tc>
        <w:tc>
          <w:tcPr>
            <w:tcW w:w="450" w:type="dxa"/>
            <w:hideMark/>
          </w:tcPr>
          <w:p w14:paraId="32390882" w14:textId="77777777" w:rsidR="000E024E" w:rsidRDefault="000E024E">
            <w:pPr>
              <w:pStyle w:val="sc-RequirementRight"/>
            </w:pPr>
            <w:r>
              <w:t>4</w:t>
            </w:r>
          </w:p>
        </w:tc>
        <w:tc>
          <w:tcPr>
            <w:tcW w:w="1116" w:type="dxa"/>
            <w:hideMark/>
          </w:tcPr>
          <w:p w14:paraId="510829F5" w14:textId="77777777" w:rsidR="000E024E" w:rsidRDefault="000E024E">
            <w:pPr>
              <w:pStyle w:val="sc-Requirement"/>
            </w:pPr>
            <w:r>
              <w:t>As needed</w:t>
            </w:r>
          </w:p>
        </w:tc>
      </w:tr>
    </w:tbl>
    <w:p w14:paraId="16ED921B" w14:textId="77777777" w:rsidR="000E024E" w:rsidRDefault="000E024E" w:rsidP="000E024E">
      <w:pPr>
        <w:pStyle w:val="sc-BodyText"/>
      </w:pPr>
      <w:r>
        <w:t>POL 327, POL 328, SOC 315: These courses should be selected by those who are not nursing nor social work majors.</w:t>
      </w:r>
    </w:p>
    <w:p w14:paraId="330AD13A" w14:textId="77777777" w:rsidR="000E024E" w:rsidRDefault="000E024E" w:rsidP="000E024E">
      <w:pPr>
        <w:pStyle w:val="sc-RequirementsSubheading"/>
      </w:pPr>
      <w:bookmarkStart w:id="11" w:name="34CF1BC629974BA4A67DDB4BE35702E2"/>
      <w:r>
        <w:t>TWO COURSES from</w:t>
      </w:r>
      <w:bookmarkEnd w:id="11"/>
    </w:p>
    <w:tbl>
      <w:tblPr>
        <w:tblW w:w="0" w:type="auto"/>
        <w:tblLook w:val="04A0" w:firstRow="1" w:lastRow="0" w:firstColumn="1" w:lastColumn="0" w:noHBand="0" w:noVBand="1"/>
      </w:tblPr>
      <w:tblGrid>
        <w:gridCol w:w="1199"/>
        <w:gridCol w:w="2000"/>
        <w:gridCol w:w="450"/>
        <w:gridCol w:w="1116"/>
      </w:tblGrid>
      <w:tr w:rsidR="000E024E" w14:paraId="5D1F9DBE" w14:textId="77777777" w:rsidTr="000E024E">
        <w:tc>
          <w:tcPr>
            <w:tcW w:w="1200" w:type="dxa"/>
            <w:hideMark/>
          </w:tcPr>
          <w:p w14:paraId="4109797C" w14:textId="77777777" w:rsidR="000E024E" w:rsidRDefault="000E024E">
            <w:pPr>
              <w:pStyle w:val="sc-Requirement"/>
            </w:pPr>
            <w:r>
              <w:t>GRTL 303</w:t>
            </w:r>
          </w:p>
        </w:tc>
        <w:tc>
          <w:tcPr>
            <w:tcW w:w="2000" w:type="dxa"/>
            <w:hideMark/>
          </w:tcPr>
          <w:p w14:paraId="2386549A" w14:textId="77777777" w:rsidR="000E024E" w:rsidRDefault="000E024E">
            <w:pPr>
              <w:pStyle w:val="sc-Requirement"/>
            </w:pPr>
            <w:r>
              <w:t>Fountain of Age</w:t>
            </w:r>
          </w:p>
        </w:tc>
        <w:tc>
          <w:tcPr>
            <w:tcW w:w="450" w:type="dxa"/>
            <w:hideMark/>
          </w:tcPr>
          <w:p w14:paraId="73686784" w14:textId="77777777" w:rsidR="000E024E" w:rsidRDefault="000E024E">
            <w:pPr>
              <w:pStyle w:val="sc-RequirementRight"/>
            </w:pPr>
            <w:r>
              <w:t>4</w:t>
            </w:r>
          </w:p>
        </w:tc>
        <w:tc>
          <w:tcPr>
            <w:tcW w:w="1116" w:type="dxa"/>
            <w:hideMark/>
          </w:tcPr>
          <w:p w14:paraId="07582F6A" w14:textId="77777777" w:rsidR="000E024E" w:rsidRDefault="000E024E">
            <w:pPr>
              <w:pStyle w:val="sc-Requirement"/>
            </w:pPr>
            <w:r>
              <w:t>As needed</w:t>
            </w:r>
          </w:p>
        </w:tc>
      </w:tr>
      <w:tr w:rsidR="000E024E" w14:paraId="3F214256" w14:textId="77777777" w:rsidTr="000E024E">
        <w:tc>
          <w:tcPr>
            <w:tcW w:w="1200" w:type="dxa"/>
          </w:tcPr>
          <w:p w14:paraId="20F3709F" w14:textId="77777777" w:rsidR="000E024E" w:rsidRDefault="000E024E">
            <w:pPr>
              <w:pStyle w:val="sc-Requirement"/>
            </w:pPr>
          </w:p>
        </w:tc>
        <w:tc>
          <w:tcPr>
            <w:tcW w:w="2000" w:type="dxa"/>
            <w:hideMark/>
          </w:tcPr>
          <w:p w14:paraId="36343B22" w14:textId="77777777" w:rsidR="000E024E" w:rsidRDefault="000E024E">
            <w:pPr>
              <w:pStyle w:val="sc-Requirement"/>
            </w:pPr>
            <w:r>
              <w:t>-Or-</w:t>
            </w:r>
          </w:p>
        </w:tc>
        <w:tc>
          <w:tcPr>
            <w:tcW w:w="450" w:type="dxa"/>
          </w:tcPr>
          <w:p w14:paraId="0CCD6A1C" w14:textId="77777777" w:rsidR="000E024E" w:rsidRDefault="000E024E">
            <w:pPr>
              <w:pStyle w:val="sc-RequirementRight"/>
            </w:pPr>
          </w:p>
        </w:tc>
        <w:tc>
          <w:tcPr>
            <w:tcW w:w="1116" w:type="dxa"/>
          </w:tcPr>
          <w:p w14:paraId="3F6C7715" w14:textId="77777777" w:rsidR="000E024E" w:rsidRDefault="000E024E">
            <w:pPr>
              <w:pStyle w:val="sc-Requirement"/>
            </w:pPr>
          </w:p>
        </w:tc>
      </w:tr>
      <w:tr w:rsidR="000E024E" w14:paraId="7A1D7B0E" w14:textId="77777777" w:rsidTr="000E024E">
        <w:tc>
          <w:tcPr>
            <w:tcW w:w="1200" w:type="dxa"/>
            <w:hideMark/>
          </w:tcPr>
          <w:p w14:paraId="79FAB1AF" w14:textId="77777777" w:rsidR="000E024E" w:rsidRDefault="000E024E">
            <w:pPr>
              <w:pStyle w:val="sc-Requirement"/>
            </w:pPr>
            <w:r>
              <w:t>SOC 303</w:t>
            </w:r>
          </w:p>
        </w:tc>
        <w:tc>
          <w:tcPr>
            <w:tcW w:w="2000" w:type="dxa"/>
            <w:hideMark/>
          </w:tcPr>
          <w:p w14:paraId="217F7B9D" w14:textId="77777777" w:rsidR="000E024E" w:rsidRDefault="000E024E">
            <w:pPr>
              <w:pStyle w:val="sc-Requirement"/>
            </w:pPr>
            <w:r>
              <w:t>Fountain of Age</w:t>
            </w:r>
          </w:p>
        </w:tc>
        <w:tc>
          <w:tcPr>
            <w:tcW w:w="450" w:type="dxa"/>
            <w:hideMark/>
          </w:tcPr>
          <w:p w14:paraId="32B60563" w14:textId="77777777" w:rsidR="000E024E" w:rsidRDefault="000E024E">
            <w:pPr>
              <w:pStyle w:val="sc-RequirementRight"/>
            </w:pPr>
            <w:r>
              <w:t>4</w:t>
            </w:r>
          </w:p>
        </w:tc>
        <w:tc>
          <w:tcPr>
            <w:tcW w:w="1116" w:type="dxa"/>
            <w:hideMark/>
          </w:tcPr>
          <w:p w14:paraId="0BF96828" w14:textId="77777777" w:rsidR="000E024E" w:rsidRDefault="000E024E">
            <w:pPr>
              <w:pStyle w:val="sc-Requirement"/>
            </w:pPr>
            <w:r>
              <w:t>As needed</w:t>
            </w:r>
          </w:p>
        </w:tc>
      </w:tr>
      <w:tr w:rsidR="000E024E" w14:paraId="7533098B" w14:textId="77777777" w:rsidTr="000E024E">
        <w:tc>
          <w:tcPr>
            <w:tcW w:w="1200" w:type="dxa"/>
          </w:tcPr>
          <w:p w14:paraId="5806AE96" w14:textId="77777777" w:rsidR="000E024E" w:rsidRDefault="000E024E">
            <w:pPr>
              <w:pStyle w:val="sc-Requirement"/>
            </w:pPr>
          </w:p>
        </w:tc>
        <w:tc>
          <w:tcPr>
            <w:tcW w:w="2000" w:type="dxa"/>
            <w:hideMark/>
          </w:tcPr>
          <w:p w14:paraId="13649CEB" w14:textId="77777777" w:rsidR="000E024E" w:rsidRDefault="000E024E">
            <w:pPr>
              <w:pStyle w:val="sc-Requirement"/>
            </w:pPr>
            <w:r>
              <w:t> </w:t>
            </w:r>
          </w:p>
        </w:tc>
        <w:tc>
          <w:tcPr>
            <w:tcW w:w="450" w:type="dxa"/>
          </w:tcPr>
          <w:p w14:paraId="15E4907B" w14:textId="77777777" w:rsidR="000E024E" w:rsidRDefault="000E024E">
            <w:pPr>
              <w:pStyle w:val="sc-RequirementRight"/>
            </w:pPr>
          </w:p>
        </w:tc>
        <w:tc>
          <w:tcPr>
            <w:tcW w:w="1116" w:type="dxa"/>
          </w:tcPr>
          <w:p w14:paraId="7C877F7E" w14:textId="77777777" w:rsidR="000E024E" w:rsidRDefault="000E024E">
            <w:pPr>
              <w:pStyle w:val="sc-Requirement"/>
            </w:pPr>
          </w:p>
        </w:tc>
      </w:tr>
      <w:tr w:rsidR="000E024E" w14:paraId="74D569F1" w14:textId="77777777" w:rsidTr="000E024E">
        <w:tc>
          <w:tcPr>
            <w:tcW w:w="1200" w:type="dxa"/>
            <w:hideMark/>
          </w:tcPr>
          <w:p w14:paraId="4202149A" w14:textId="77777777" w:rsidR="000E024E" w:rsidRDefault="000E024E">
            <w:pPr>
              <w:pStyle w:val="sc-Requirement"/>
            </w:pPr>
            <w:r>
              <w:t>NURS 312</w:t>
            </w:r>
          </w:p>
        </w:tc>
        <w:tc>
          <w:tcPr>
            <w:tcW w:w="2000" w:type="dxa"/>
            <w:hideMark/>
          </w:tcPr>
          <w:p w14:paraId="64DD4291" w14:textId="77777777" w:rsidR="000E024E" w:rsidRDefault="000E024E">
            <w:pPr>
              <w:pStyle w:val="sc-Requirement"/>
            </w:pPr>
            <w:r>
              <w:t>Death and Dying</w:t>
            </w:r>
          </w:p>
        </w:tc>
        <w:tc>
          <w:tcPr>
            <w:tcW w:w="450" w:type="dxa"/>
            <w:hideMark/>
          </w:tcPr>
          <w:p w14:paraId="174FA0BA" w14:textId="77777777" w:rsidR="000E024E" w:rsidRDefault="000E024E">
            <w:pPr>
              <w:pStyle w:val="sc-RequirementRight"/>
            </w:pPr>
            <w:r>
              <w:t>3</w:t>
            </w:r>
          </w:p>
        </w:tc>
        <w:tc>
          <w:tcPr>
            <w:tcW w:w="1116" w:type="dxa"/>
            <w:hideMark/>
          </w:tcPr>
          <w:p w14:paraId="64D5B032" w14:textId="77777777" w:rsidR="000E024E" w:rsidRDefault="000E024E">
            <w:pPr>
              <w:pStyle w:val="sc-Requirement"/>
            </w:pPr>
            <w:r>
              <w:t>Sp</w:t>
            </w:r>
          </w:p>
        </w:tc>
      </w:tr>
      <w:tr w:rsidR="000E024E" w14:paraId="799F0ED3" w14:textId="77777777" w:rsidTr="000E024E">
        <w:tc>
          <w:tcPr>
            <w:tcW w:w="1200" w:type="dxa"/>
            <w:hideMark/>
          </w:tcPr>
          <w:p w14:paraId="3A4E4574" w14:textId="77777777" w:rsidR="000E024E" w:rsidRDefault="000E024E">
            <w:pPr>
              <w:pStyle w:val="sc-Requirement"/>
            </w:pPr>
            <w:r>
              <w:t>HPE 451</w:t>
            </w:r>
          </w:p>
        </w:tc>
        <w:tc>
          <w:tcPr>
            <w:tcW w:w="2000" w:type="dxa"/>
            <w:hideMark/>
          </w:tcPr>
          <w:p w14:paraId="67CB3334" w14:textId="77777777" w:rsidR="000E024E" w:rsidRDefault="000E024E">
            <w:pPr>
              <w:pStyle w:val="sc-Requirement"/>
            </w:pPr>
            <w:r>
              <w:t>Recreation and Aging</w:t>
            </w:r>
          </w:p>
        </w:tc>
        <w:tc>
          <w:tcPr>
            <w:tcW w:w="450" w:type="dxa"/>
            <w:hideMark/>
          </w:tcPr>
          <w:p w14:paraId="79783757" w14:textId="77777777" w:rsidR="000E024E" w:rsidRDefault="000E024E">
            <w:pPr>
              <w:pStyle w:val="sc-RequirementRight"/>
            </w:pPr>
            <w:r>
              <w:t>3</w:t>
            </w:r>
          </w:p>
        </w:tc>
        <w:tc>
          <w:tcPr>
            <w:tcW w:w="1116" w:type="dxa"/>
            <w:hideMark/>
          </w:tcPr>
          <w:p w14:paraId="13F00290" w14:textId="77777777" w:rsidR="000E024E" w:rsidRDefault="000E024E">
            <w:pPr>
              <w:pStyle w:val="sc-Requirement"/>
            </w:pPr>
            <w:r>
              <w:t>As needed</w:t>
            </w:r>
          </w:p>
        </w:tc>
      </w:tr>
      <w:tr w:rsidR="000E024E" w14:paraId="71B42E79" w14:textId="77777777" w:rsidTr="000E024E">
        <w:tc>
          <w:tcPr>
            <w:tcW w:w="1200" w:type="dxa"/>
            <w:hideMark/>
          </w:tcPr>
          <w:p w14:paraId="66089D8D" w14:textId="77777777" w:rsidR="000E024E" w:rsidRDefault="000E024E">
            <w:pPr>
              <w:pStyle w:val="sc-Requirement"/>
            </w:pPr>
            <w:r>
              <w:t>PSYC 339</w:t>
            </w:r>
          </w:p>
        </w:tc>
        <w:tc>
          <w:tcPr>
            <w:tcW w:w="2000" w:type="dxa"/>
            <w:hideMark/>
          </w:tcPr>
          <w:p w14:paraId="73910F73" w14:textId="77777777" w:rsidR="000E024E" w:rsidRDefault="000E024E">
            <w:pPr>
              <w:pStyle w:val="sc-Requirement"/>
            </w:pPr>
            <w:r>
              <w:t>Psychology of Aging</w:t>
            </w:r>
          </w:p>
        </w:tc>
        <w:tc>
          <w:tcPr>
            <w:tcW w:w="450" w:type="dxa"/>
            <w:hideMark/>
          </w:tcPr>
          <w:p w14:paraId="1F0A97D4" w14:textId="77777777" w:rsidR="000E024E" w:rsidRDefault="000E024E">
            <w:pPr>
              <w:pStyle w:val="sc-RequirementRight"/>
            </w:pPr>
            <w:r>
              <w:t>4</w:t>
            </w:r>
          </w:p>
        </w:tc>
        <w:tc>
          <w:tcPr>
            <w:tcW w:w="1116" w:type="dxa"/>
            <w:hideMark/>
          </w:tcPr>
          <w:p w14:paraId="746F6CF7" w14:textId="77777777" w:rsidR="000E024E" w:rsidRDefault="000E024E">
            <w:pPr>
              <w:pStyle w:val="sc-Requirement"/>
            </w:pPr>
            <w:r>
              <w:t>Annually</w:t>
            </w:r>
          </w:p>
        </w:tc>
      </w:tr>
      <w:tr w:rsidR="000E024E" w14:paraId="4F1BC301" w14:textId="77777777" w:rsidTr="000E024E">
        <w:tc>
          <w:tcPr>
            <w:tcW w:w="1200" w:type="dxa"/>
            <w:hideMark/>
          </w:tcPr>
          <w:p w14:paraId="2867C3C8" w14:textId="77777777" w:rsidR="000E024E" w:rsidRDefault="000E024E">
            <w:pPr>
              <w:pStyle w:val="sc-Requirement"/>
            </w:pPr>
            <w:r>
              <w:t>SOC 314</w:t>
            </w:r>
          </w:p>
        </w:tc>
        <w:tc>
          <w:tcPr>
            <w:tcW w:w="2000" w:type="dxa"/>
            <w:hideMark/>
          </w:tcPr>
          <w:p w14:paraId="2FCE91D2" w14:textId="77777777" w:rsidR="000E024E" w:rsidRDefault="000E024E">
            <w:pPr>
              <w:pStyle w:val="sc-Requirement"/>
            </w:pPr>
            <w:r>
              <w:t>The Sociology of Health and Illness</w:t>
            </w:r>
          </w:p>
        </w:tc>
        <w:tc>
          <w:tcPr>
            <w:tcW w:w="450" w:type="dxa"/>
            <w:hideMark/>
          </w:tcPr>
          <w:p w14:paraId="22BCE7AD" w14:textId="77777777" w:rsidR="000E024E" w:rsidRDefault="000E024E">
            <w:pPr>
              <w:pStyle w:val="sc-RequirementRight"/>
            </w:pPr>
            <w:r>
              <w:t>4</w:t>
            </w:r>
          </w:p>
        </w:tc>
        <w:tc>
          <w:tcPr>
            <w:tcW w:w="1116" w:type="dxa"/>
            <w:hideMark/>
          </w:tcPr>
          <w:p w14:paraId="4410AF24" w14:textId="77777777" w:rsidR="000E024E" w:rsidRDefault="000E024E">
            <w:pPr>
              <w:pStyle w:val="sc-Requirement"/>
            </w:pPr>
            <w:r>
              <w:t>Annually</w:t>
            </w:r>
          </w:p>
        </w:tc>
      </w:tr>
    </w:tbl>
    <w:p w14:paraId="7714EFC7" w14:textId="77777777" w:rsidR="000E024E" w:rsidRDefault="000E024E" w:rsidP="000E024E">
      <w:pPr>
        <w:pStyle w:val="sc-Total"/>
      </w:pPr>
      <w:r>
        <w:t>Total Credit Hours: 21-26</w:t>
      </w:r>
    </w:p>
    <w:p w14:paraId="06638496" w14:textId="77777777" w:rsidR="000E024E" w:rsidRDefault="000E024E" w:rsidP="000E024E">
      <w:pPr>
        <w:spacing w:line="240" w:lineRule="auto"/>
      </w:pPr>
    </w:p>
    <w:p w14:paraId="262750D2" w14:textId="77777777" w:rsidR="000E024E" w:rsidRDefault="000E024E" w:rsidP="000E024E">
      <w:pPr>
        <w:spacing w:line="240" w:lineRule="auto"/>
      </w:pPr>
    </w:p>
    <w:p w14:paraId="05D9C832" w14:textId="77777777" w:rsidR="000E024E" w:rsidRDefault="000E024E">
      <w:pPr>
        <w:spacing w:after="160" w:line="276" w:lineRule="auto"/>
        <w:rPr>
          <w:b/>
          <w:bCs/>
          <w:szCs w:val="18"/>
        </w:rPr>
      </w:pPr>
      <w:r>
        <w:br w:type="page"/>
      </w:r>
      <w:bookmarkStart w:id="12" w:name="_GoBack"/>
      <w:bookmarkEnd w:id="12"/>
    </w:p>
    <w:p w14:paraId="09FB68B0" w14:textId="1818AE0C" w:rsidR="000E024E" w:rsidRDefault="000E024E" w:rsidP="000E024E">
      <w:pPr>
        <w:pStyle w:val="sc-CourseTitle"/>
      </w:pPr>
      <w:r>
        <w:lastRenderedPageBreak/>
        <w:t>SOC 303 - Fountain of Age  (4)</w:t>
      </w:r>
    </w:p>
    <w:p w14:paraId="0CEBD3C6" w14:textId="77777777" w:rsidR="000E024E" w:rsidRDefault="000E024E" w:rsidP="000E024E">
      <w:pPr>
        <w:pStyle w:val="sc-BodyText"/>
      </w:pPr>
      <w:r>
        <w:t>The impacts of aging at the individual, interactional, and societal level are examined, with ethical, public policy and economic challenges considered. Historical, cross-cultural and gender variations in aging are explored. Students cannot receive credit for both GRTL 303 and SOC 303, or SOC 261.</w:t>
      </w:r>
    </w:p>
    <w:p w14:paraId="4E28105F" w14:textId="77777777" w:rsidR="000E024E" w:rsidRDefault="000E024E" w:rsidP="000E024E">
      <w:pPr>
        <w:pStyle w:val="sc-BodyText"/>
      </w:pPr>
      <w:r>
        <w:t>Prerequisite: Any 200-level sociology course or consent of department chair.</w:t>
      </w:r>
    </w:p>
    <w:p w14:paraId="7208E440" w14:textId="77777777" w:rsidR="000E024E" w:rsidRDefault="000E024E" w:rsidP="000E024E">
      <w:pPr>
        <w:pStyle w:val="sc-BodyText"/>
      </w:pPr>
      <w:r>
        <w:t>Offered: As needed.</w:t>
      </w:r>
    </w:p>
    <w:p w14:paraId="5A295FFD" w14:textId="77777777" w:rsidR="000E024E" w:rsidRDefault="000E024E" w:rsidP="000E024E">
      <w:pPr>
        <w:pStyle w:val="sc-CourseTitle"/>
      </w:pPr>
      <w:bookmarkStart w:id="13" w:name="C12AD17F18C2481AABEA736C2EEDDAB2"/>
      <w:bookmarkEnd w:id="13"/>
      <w:r>
        <w:t>SOC 306 - Work and Organizations (4)</w:t>
      </w:r>
    </w:p>
    <w:p w14:paraId="005446C1" w14:textId="77777777" w:rsidR="000E024E" w:rsidRDefault="000E024E" w:rsidP="000E024E">
      <w:pPr>
        <w:pStyle w:val="sc-BodyText"/>
      </w:pPr>
      <w:r>
        <w:t>In analyzing the goals, operation, and impact of modern organizations, students consider such characteristics as bureaucratization, work and employment, and organizational change.</w:t>
      </w:r>
    </w:p>
    <w:p w14:paraId="3C2B056C" w14:textId="77777777" w:rsidR="000E024E" w:rsidRDefault="000E024E" w:rsidP="000E024E">
      <w:pPr>
        <w:pStyle w:val="sc-BodyText"/>
      </w:pPr>
      <w:r>
        <w:t>Prerequisite: Any 200-level sociology course or consent of department chair.</w:t>
      </w:r>
    </w:p>
    <w:p w14:paraId="597BD9A0" w14:textId="77777777" w:rsidR="000E024E" w:rsidRDefault="000E024E" w:rsidP="000E024E">
      <w:pPr>
        <w:pStyle w:val="sc-BodyText"/>
      </w:pPr>
      <w:r>
        <w:t>Offered:  As needed.</w:t>
      </w:r>
    </w:p>
    <w:p w14:paraId="7F58ABBC" w14:textId="77777777" w:rsidR="000E024E" w:rsidRDefault="000E024E" w:rsidP="000E024E">
      <w:pPr>
        <w:pStyle w:val="sc-CourseTitle"/>
      </w:pPr>
      <w:bookmarkStart w:id="14" w:name="66B1880B53744681B416EBED1F8A2B1D"/>
      <w:bookmarkEnd w:id="14"/>
      <w:r>
        <w:t>SOC 309 - The Sociology of Delinquency and Crime (4)</w:t>
      </w:r>
    </w:p>
    <w:p w14:paraId="07C1389F" w14:textId="77777777" w:rsidR="000E024E" w:rsidRDefault="000E024E" w:rsidP="000E024E">
      <w:pPr>
        <w:pStyle w:val="sc-BodyText"/>
      </w:pPr>
      <w:r>
        <w:t>Theoretical orientations toward the causes of delinquent and criminal behavior are studied. Also examined are various types of criminal behavior, as well as research, measurement, and prediction methods. Relevant social policy is explored.</w:t>
      </w:r>
    </w:p>
    <w:p w14:paraId="1AA5DFD7" w14:textId="77777777" w:rsidR="000E024E" w:rsidRDefault="000E024E" w:rsidP="000E024E">
      <w:pPr>
        <w:pStyle w:val="sc-BodyText"/>
      </w:pPr>
      <w:r>
        <w:t>Prerequisite: SOC 207 or consent of department chair.</w:t>
      </w:r>
    </w:p>
    <w:p w14:paraId="6888F7CC" w14:textId="77777777" w:rsidR="000E024E" w:rsidRDefault="000E024E" w:rsidP="000E024E">
      <w:pPr>
        <w:pStyle w:val="sc-BodyText"/>
      </w:pPr>
      <w:r>
        <w:t>Offered:  Fall, Spring.</w:t>
      </w:r>
    </w:p>
    <w:p w14:paraId="69972BE4" w14:textId="77777777" w:rsidR="000E024E" w:rsidRDefault="000E024E" w:rsidP="000E024E">
      <w:pPr>
        <w:pStyle w:val="sc-CourseTitle"/>
      </w:pPr>
      <w:bookmarkStart w:id="15" w:name="42BA0162444B45DE99414EC49D43B9BD"/>
      <w:bookmarkEnd w:id="15"/>
      <w:r>
        <w:t>SOC 314 - The Sociology of Health and Illness (4)</w:t>
      </w:r>
    </w:p>
    <w:p w14:paraId="677BC169" w14:textId="77777777" w:rsidR="000E024E" w:rsidRDefault="000E024E" w:rsidP="000E024E">
      <w:pPr>
        <w:pStyle w:val="sc-BodyText"/>
      </w:pPr>
      <w:r>
        <w:t>Topics include the influence of the social and economic environment on health and disease, and social-cultural forces affecting medicine.</w:t>
      </w:r>
    </w:p>
    <w:p w14:paraId="11B7D574" w14:textId="77777777" w:rsidR="000E024E" w:rsidRDefault="000E024E" w:rsidP="000E024E">
      <w:pPr>
        <w:pStyle w:val="sc-BodyText"/>
      </w:pPr>
      <w:r>
        <w:t>Prerequisite: Completion of any 200 level course in a social/behavioral science or consent of department chair.</w:t>
      </w:r>
    </w:p>
    <w:p w14:paraId="548483BA" w14:textId="77777777" w:rsidR="000E024E" w:rsidRDefault="000E024E" w:rsidP="000E024E">
      <w:pPr>
        <w:pStyle w:val="sc-BodyText"/>
      </w:pPr>
      <w:r>
        <w:t>Offered:  Annually.</w:t>
      </w:r>
    </w:p>
    <w:p w14:paraId="7ABE666F" w14:textId="0110AFEB" w:rsidR="000E024E" w:rsidRDefault="000E024E" w:rsidP="000E024E">
      <w:pPr>
        <w:pStyle w:val="sc-CourseTitle"/>
      </w:pPr>
      <w:bookmarkStart w:id="16" w:name="C150B86FB5D247FFA3A2F84BF45AA53D"/>
      <w:bookmarkEnd w:id="16"/>
      <w:r>
        <w:t xml:space="preserve">SOC 315 </w:t>
      </w:r>
      <w:del w:id="17" w:author="Mikaila Arthur" w:date="2020-09-09T20:24:00Z">
        <w:r w:rsidDel="00E70CE8">
          <w:delText>-</w:delText>
        </w:r>
      </w:del>
      <w:ins w:id="18" w:author="Mikaila Arthur" w:date="2020-09-09T20:24:00Z">
        <w:r w:rsidR="00E70CE8">
          <w:t>–</w:t>
        </w:r>
      </w:ins>
      <w:r>
        <w:t xml:space="preserve"> </w:t>
      </w:r>
      <w:ins w:id="19" w:author="Mikaila Arthur" w:date="2020-09-09T20:24:00Z">
        <w:r w:rsidR="00E70CE8">
          <w:t xml:space="preserve">Service Learning in the </w:t>
        </w:r>
      </w:ins>
      <w:r>
        <w:t>Community (4)</w:t>
      </w:r>
    </w:p>
    <w:p w14:paraId="756CB7CB" w14:textId="77777777" w:rsidR="000E024E" w:rsidRDefault="000E024E" w:rsidP="000E024E">
      <w:pPr>
        <w:pStyle w:val="sc-BodyText"/>
      </w:pPr>
      <w:r>
        <w:t>Interactive learning is pursued through field experience or applied research that produces service to the community.</w:t>
      </w:r>
    </w:p>
    <w:p w14:paraId="66D3D02B" w14:textId="77777777" w:rsidR="000E024E" w:rsidRDefault="000E024E" w:rsidP="000E024E">
      <w:pPr>
        <w:pStyle w:val="sc-BodyText"/>
      </w:pPr>
      <w:r>
        <w:t>Prerequisite: Any 200-level sociology course or completion of at least 45 college credits and consent of department chair.</w:t>
      </w:r>
    </w:p>
    <w:p w14:paraId="66E5F156" w14:textId="77777777" w:rsidR="000E024E" w:rsidRDefault="000E024E" w:rsidP="000E024E">
      <w:pPr>
        <w:pStyle w:val="sc-BodyText"/>
      </w:pPr>
      <w:r>
        <w:t>Offered:  As needed.</w:t>
      </w:r>
    </w:p>
    <w:p w14:paraId="1E6869C7" w14:textId="77777777" w:rsidR="000E024E" w:rsidRDefault="000E024E" w:rsidP="000E024E">
      <w:pPr>
        <w:pStyle w:val="sc-CourseTitle"/>
      </w:pPr>
      <w:bookmarkStart w:id="20" w:name="8FBD309ADBA84F8FA261E79E045A3709"/>
      <w:bookmarkEnd w:id="20"/>
      <w:r>
        <w:t>SOC 316 - Sociology of Education (4)</w:t>
      </w:r>
    </w:p>
    <w:p w14:paraId="26AEC299" w14:textId="77777777" w:rsidR="000E024E" w:rsidRDefault="000E024E" w:rsidP="000E024E">
      <w:pPr>
        <w:pStyle w:val="sc-BodyText"/>
      </w:pPr>
      <w:r>
        <w:t>The school is examined as one of the major institutions in contemporary society concerned with the socialization of children (and adults).</w:t>
      </w:r>
    </w:p>
    <w:p w14:paraId="196C301E" w14:textId="77777777" w:rsidR="000E024E" w:rsidRDefault="000E024E" w:rsidP="000E024E">
      <w:pPr>
        <w:pStyle w:val="sc-BodyText"/>
      </w:pPr>
      <w:r>
        <w:t>Prerequisite: Any 200-level sociology course or consent of department chair.</w:t>
      </w:r>
    </w:p>
    <w:p w14:paraId="667E9BC7" w14:textId="77777777" w:rsidR="000E024E" w:rsidRDefault="000E024E" w:rsidP="000E024E">
      <w:pPr>
        <w:pStyle w:val="sc-BodyText"/>
      </w:pPr>
      <w:r>
        <w:t>Offered:  As needed.</w:t>
      </w:r>
    </w:p>
    <w:p w14:paraId="222B19EE" w14:textId="77777777" w:rsidR="000E024E" w:rsidRDefault="000E024E" w:rsidP="000E024E">
      <w:pPr>
        <w:pStyle w:val="sc-CourseTitle"/>
      </w:pPr>
      <w:bookmarkStart w:id="21" w:name="CD1EEDD554834A4DAC9A4DB46A8C61D8"/>
      <w:bookmarkEnd w:id="21"/>
      <w:r>
        <w:t>SOC 317 - Politics and Society (4)</w:t>
      </w:r>
    </w:p>
    <w:p w14:paraId="6A8E83DE" w14:textId="77777777" w:rsidR="000E024E" w:rsidRDefault="000E024E" w:rsidP="000E024E">
      <w:pPr>
        <w:pStyle w:val="sc-BodyText"/>
      </w:pPr>
      <w:r>
        <w:t>Relationships of power and authority and their social foundations are examined. Students may receive credit for only one of the following: HIST 317, POL 317, and SOC 317.</w:t>
      </w:r>
    </w:p>
    <w:p w14:paraId="7865D5A1" w14:textId="77777777" w:rsidR="000E024E" w:rsidRDefault="000E024E" w:rsidP="000E024E">
      <w:pPr>
        <w:pStyle w:val="sc-BodyText"/>
      </w:pPr>
      <w:r>
        <w:t>Prerequisite: POL 204 or consent of department chair.</w:t>
      </w:r>
    </w:p>
    <w:p w14:paraId="75C17699" w14:textId="77777777" w:rsidR="000E024E" w:rsidRDefault="000E024E" w:rsidP="000E024E">
      <w:pPr>
        <w:pStyle w:val="sc-BodyText"/>
      </w:pPr>
      <w:r>
        <w:t>Offered:  Spring.</w:t>
      </w:r>
    </w:p>
    <w:p w14:paraId="19EFC831" w14:textId="77777777" w:rsidR="000E024E" w:rsidRDefault="000E024E" w:rsidP="000E024E">
      <w:pPr>
        <w:pStyle w:val="sc-CourseTitle"/>
      </w:pPr>
      <w:bookmarkStart w:id="22" w:name="62E6B7A373974D24A207C69E1C5DA696"/>
      <w:bookmarkEnd w:id="22"/>
      <w:r>
        <w:t>SOC 318 - Law and Society (4)</w:t>
      </w:r>
    </w:p>
    <w:p w14:paraId="1EDFB5FA" w14:textId="77777777" w:rsidR="000E024E" w:rsidRDefault="000E024E" w:rsidP="000E024E">
      <w:pPr>
        <w:pStyle w:val="sc-BodyText"/>
      </w:pPr>
      <w:r>
        <w:t xml:space="preserve">Law as a social institution is examined. Attention is given to theories of law; law as it relates to social control and social change; the organization, </w:t>
      </w:r>
      <w:r>
        <w:t>making, implementation, and impact of law; and the profession and practice of law.</w:t>
      </w:r>
    </w:p>
    <w:p w14:paraId="0754F7D0" w14:textId="77777777" w:rsidR="000E024E" w:rsidRDefault="000E024E" w:rsidP="000E024E">
      <w:pPr>
        <w:pStyle w:val="sc-BodyText"/>
      </w:pPr>
      <w:r>
        <w:t>Prerequisite: Any 200-level sociology course or consent of department chair.</w:t>
      </w:r>
    </w:p>
    <w:p w14:paraId="61B39EAF" w14:textId="77777777" w:rsidR="000E024E" w:rsidRDefault="000E024E" w:rsidP="000E024E">
      <w:pPr>
        <w:pStyle w:val="sc-BodyText"/>
      </w:pPr>
      <w:r>
        <w:t>Offered:  Fall, Spring.</w:t>
      </w:r>
    </w:p>
    <w:p w14:paraId="42DB7B49" w14:textId="77777777" w:rsidR="000E024E" w:rsidRDefault="000E024E" w:rsidP="000E024E">
      <w:pPr>
        <w:pStyle w:val="sc-CourseTitle"/>
      </w:pPr>
      <w:bookmarkStart w:id="23" w:name="F72678642E6E443FA22B129FC69868D7"/>
      <w:bookmarkEnd w:id="23"/>
      <w:r>
        <w:t>SOC 320 - Aging and the Law (3)</w:t>
      </w:r>
    </w:p>
    <w:p w14:paraId="791585F1" w14:textId="77777777" w:rsidR="000E024E" w:rsidRDefault="000E024E" w:rsidP="000E024E">
      <w:pPr>
        <w:pStyle w:val="sc-BodyText"/>
      </w:pPr>
      <w:r>
        <w:t>Students examine the major laws affecting the older population (e.g., Social Security), as well as programs and policies stemming from these laws.</w:t>
      </w:r>
    </w:p>
    <w:p w14:paraId="49C07A5E" w14:textId="77777777" w:rsidR="000E024E" w:rsidRDefault="000E024E" w:rsidP="000E024E">
      <w:pPr>
        <w:pStyle w:val="sc-BodyText"/>
      </w:pPr>
      <w:r>
        <w:t>Prerequisite: Any 200-level sociology course or consent of department chair.</w:t>
      </w:r>
    </w:p>
    <w:p w14:paraId="78233FE3" w14:textId="77777777" w:rsidR="000E024E" w:rsidRDefault="000E024E" w:rsidP="000E024E">
      <w:pPr>
        <w:pStyle w:val="sc-BodyText"/>
      </w:pPr>
      <w:r>
        <w:t>Offered:  Annually.</w:t>
      </w:r>
    </w:p>
    <w:p w14:paraId="7B56DC33" w14:textId="77777777" w:rsidR="000E024E" w:rsidRDefault="000E024E" w:rsidP="000E024E">
      <w:pPr>
        <w:pStyle w:val="sc-CourseTitle"/>
      </w:pPr>
      <w:bookmarkStart w:id="24" w:name="4414284116564930AABCF6331B03B557"/>
      <w:bookmarkEnd w:id="24"/>
      <w:r>
        <w:t>SOC 321 - Sociology of the Body (4)</w:t>
      </w:r>
    </w:p>
    <w:p w14:paraId="4E4A90BB" w14:textId="77777777" w:rsidR="000E024E" w:rsidRDefault="000E024E" w:rsidP="000E024E">
      <w:pPr>
        <w:pStyle w:val="sc-BodyText"/>
      </w:pPr>
      <w:r>
        <w:t>A sociological analysis of bodily experiences, emphasizing the impact of gender, race, class and sexuality across a range of phenomena from body adornment and modification to illness and disability.</w:t>
      </w:r>
    </w:p>
    <w:p w14:paraId="1D9F27AF" w14:textId="77777777" w:rsidR="000E024E" w:rsidRDefault="000E024E" w:rsidP="000E024E">
      <w:pPr>
        <w:pStyle w:val="sc-BodyText"/>
      </w:pPr>
      <w:r>
        <w:t>Prerequisite: Any 200-level sociology course or consent of the department chair.</w:t>
      </w:r>
    </w:p>
    <w:p w14:paraId="7DC21E91" w14:textId="77777777" w:rsidR="000E024E" w:rsidRDefault="000E024E" w:rsidP="000E024E">
      <w:pPr>
        <w:pStyle w:val="sc-BodyText"/>
      </w:pPr>
      <w:r>
        <w:t>Offered: Annually.</w:t>
      </w:r>
    </w:p>
    <w:p w14:paraId="1B1B9125" w14:textId="77777777" w:rsidR="000E024E" w:rsidRDefault="000E024E" w:rsidP="000E024E">
      <w:pPr>
        <w:pStyle w:val="sc-CourseTitle"/>
      </w:pPr>
      <w:bookmarkStart w:id="25" w:name="002DC63A31254524A141C335A7BCEE07"/>
      <w:bookmarkEnd w:id="25"/>
      <w:r>
        <w:t>SOC 333 - Comparative Law and Justice (4)</w:t>
      </w:r>
    </w:p>
    <w:p w14:paraId="0B9C04A6" w14:textId="77777777" w:rsidR="000E024E" w:rsidRDefault="000E024E" w:rsidP="000E024E">
      <w:pPr>
        <w:pStyle w:val="sc-BodyText"/>
      </w:pPr>
      <w:r>
        <w:t>Systems of law and justice are examined in prestate and state societies to understand the operation of law and justice in cross-cultural contexts and the United States. Students cannot receive credit for both SOC 333 and ANTH 333.</w:t>
      </w:r>
    </w:p>
    <w:p w14:paraId="7B6AFD5D" w14:textId="77777777" w:rsidR="000E024E" w:rsidRDefault="000E024E" w:rsidP="000E024E">
      <w:pPr>
        <w:pStyle w:val="sc-BodyText"/>
      </w:pPr>
      <w:r>
        <w:t>Prerequisite: Any 100- or 200-level course in a social science.</w:t>
      </w:r>
    </w:p>
    <w:p w14:paraId="5286C74E" w14:textId="77777777" w:rsidR="000E024E" w:rsidRDefault="000E024E" w:rsidP="000E024E">
      <w:pPr>
        <w:pStyle w:val="sc-BodyText"/>
      </w:pPr>
      <w:r>
        <w:t>Offered:  Fall, Spring.</w:t>
      </w:r>
    </w:p>
    <w:p w14:paraId="1798D22E" w14:textId="77777777" w:rsidR="000E024E" w:rsidRDefault="000E024E" w:rsidP="000E024E">
      <w:pPr>
        <w:pStyle w:val="sc-CourseTitle"/>
      </w:pPr>
      <w:bookmarkStart w:id="26" w:name="828F4C217FDC4507A34EA52BE9DA13AD"/>
      <w:bookmarkEnd w:id="26"/>
      <w:r>
        <w:t>SOC 340 - Police and Policing (4)</w:t>
      </w:r>
    </w:p>
    <w:p w14:paraId="5CC3F631" w14:textId="77777777" w:rsidR="000E024E" w:rsidRDefault="000E024E" w:rsidP="000E024E">
      <w:pPr>
        <w:pStyle w:val="sc-BodyText"/>
      </w:pPr>
      <w:r>
        <w:t>The philosophy, history, and practice of law enforcement are examined. Organization and jurisdiction of local, state, and federal law enforcement agencies and their roles in the administration of criminal justice are explored.</w:t>
      </w:r>
    </w:p>
    <w:p w14:paraId="64C89A94" w14:textId="77777777" w:rsidR="000E024E" w:rsidRDefault="000E024E" w:rsidP="000E024E">
      <w:pPr>
        <w:pStyle w:val="sc-BodyText"/>
      </w:pPr>
      <w:r>
        <w:t>Prerequisite: SOC 207 or consent of department chair.</w:t>
      </w:r>
    </w:p>
    <w:p w14:paraId="7EDF055D" w14:textId="77777777" w:rsidR="000E024E" w:rsidRDefault="000E024E" w:rsidP="000E024E">
      <w:pPr>
        <w:pStyle w:val="sc-BodyText"/>
      </w:pPr>
      <w:r>
        <w:t>Offered:  Fall, Spring, Summer.</w:t>
      </w:r>
    </w:p>
    <w:p w14:paraId="4CDDCCAD" w14:textId="77777777" w:rsidR="000E024E" w:rsidRDefault="000E024E" w:rsidP="000E024E">
      <w:pPr>
        <w:pStyle w:val="sc-CourseTitle"/>
      </w:pPr>
      <w:bookmarkStart w:id="27" w:name="ABCE73898BCC41669E70A9B95A13B591"/>
      <w:bookmarkEnd w:id="27"/>
      <w:r>
        <w:t>SOC 341 - Sociology of Punishment (4)</w:t>
      </w:r>
    </w:p>
    <w:p w14:paraId="7401E77B" w14:textId="77777777" w:rsidR="000E024E" w:rsidRDefault="000E024E" w:rsidP="000E024E">
      <w:pPr>
        <w:pStyle w:val="sc-BodyText"/>
      </w:pPr>
      <w:r>
        <w:t>Students engage in critical analysis of punishment practices and theories, including rationales of punishment and alternatives to incarceration such as restorative justice and rehabilitative approaches.</w:t>
      </w:r>
    </w:p>
    <w:p w14:paraId="081A4356" w14:textId="77777777" w:rsidR="000E024E" w:rsidRDefault="000E024E" w:rsidP="000E024E">
      <w:pPr>
        <w:pStyle w:val="sc-BodyText"/>
      </w:pPr>
      <w:r>
        <w:t>Prerequisite: SOC 207 or consent of department chair.</w:t>
      </w:r>
    </w:p>
    <w:p w14:paraId="7295F236" w14:textId="77777777" w:rsidR="000E024E" w:rsidRDefault="000E024E" w:rsidP="000E024E">
      <w:pPr>
        <w:pStyle w:val="sc-BodyText"/>
      </w:pPr>
      <w:r>
        <w:t>Offered:  Fall, Spring, Summer.</w:t>
      </w:r>
    </w:p>
    <w:p w14:paraId="7D79F5C1" w14:textId="77777777" w:rsidR="000E024E" w:rsidRDefault="000E024E" w:rsidP="000E024E">
      <w:pPr>
        <w:pStyle w:val="sc-CourseTitle"/>
      </w:pPr>
      <w:bookmarkStart w:id="28" w:name="4DECF52411074258B5234AEE5E166322"/>
      <w:bookmarkEnd w:id="28"/>
      <w:r>
        <w:t>SOC 342 - Women, Crime, and Justice (4)</w:t>
      </w:r>
    </w:p>
    <w:p w14:paraId="4AD5DBEF" w14:textId="77777777" w:rsidR="000E024E" w:rsidRDefault="000E024E" w:rsidP="000E024E">
      <w:pPr>
        <w:pStyle w:val="sc-BodyText"/>
      </w:pPr>
      <w:r>
        <w:t>Focus is on women's experiences with crime, justice, and the law. Topics include an overview of American laws that affect women, the impact of social movements on justice for women, women and crime, and women in the criminal justice system.</w:t>
      </w:r>
    </w:p>
    <w:p w14:paraId="09632C2E" w14:textId="77777777" w:rsidR="000E024E" w:rsidRDefault="000E024E" w:rsidP="000E024E">
      <w:pPr>
        <w:pStyle w:val="sc-BodyText"/>
      </w:pPr>
      <w:r>
        <w:t>Prerequisite: Any 200-level sociology course or consent of department chair.</w:t>
      </w:r>
    </w:p>
    <w:p w14:paraId="3CA297B5" w14:textId="77777777" w:rsidR="000E024E" w:rsidRDefault="000E024E" w:rsidP="000E024E">
      <w:pPr>
        <w:pStyle w:val="sc-BodyText"/>
      </w:pPr>
      <w:r>
        <w:t>Offered:  Fall, Spring.</w:t>
      </w:r>
    </w:p>
    <w:p w14:paraId="44A2E108" w14:textId="77777777" w:rsidR="000E024E" w:rsidRDefault="000E024E" w:rsidP="000E024E">
      <w:pPr>
        <w:pStyle w:val="sc-CourseTitle"/>
      </w:pPr>
      <w:bookmarkStart w:id="29" w:name="E9D6DB45DF884A00B5F53659D15AD603"/>
      <w:bookmarkEnd w:id="29"/>
      <w:r>
        <w:t>SOC 343 - Juveniles and Justice (4)</w:t>
      </w:r>
    </w:p>
    <w:p w14:paraId="379FC76C" w14:textId="77777777" w:rsidR="000E024E" w:rsidRDefault="000E024E" w:rsidP="000E024E">
      <w:pPr>
        <w:pStyle w:val="sc-BodyText"/>
      </w:pPr>
      <w:r>
        <w:t>The impact of juvenile status on the rights of the individual, the historical and philosophical foundations of the juvenile justice system, and its current organization and administration are examined.</w:t>
      </w:r>
    </w:p>
    <w:p w14:paraId="793F8D24" w14:textId="32E21408" w:rsidR="000E024E" w:rsidRDefault="000E024E" w:rsidP="000E024E">
      <w:pPr>
        <w:spacing w:line="240" w:lineRule="auto"/>
        <w:sectPr w:rsidR="000E024E">
          <w:pgSz w:w="12240" w:h="15840"/>
          <w:pgMar w:top="1420" w:right="910" w:bottom="1650" w:left="1080" w:header="720" w:footer="940" w:gutter="0"/>
          <w:cols w:num="2" w:space="720"/>
        </w:sectPr>
      </w:pPr>
    </w:p>
    <w:p w14:paraId="434B0C26" w14:textId="77777777" w:rsidR="00FC2052" w:rsidRDefault="00FC2052"/>
    <w:sectPr w:rsidR="00FC2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Gill Sans MT">
    <w:panose1 w:val="020B0502020104020203"/>
    <w:charset w:val="4D"/>
    <w:family w:val="swiss"/>
    <w:pitch w:val="variable"/>
    <w:sig w:usb0="00000003" w:usb1="00000000" w:usb2="00000000" w:usb3="00000000" w:csb0="00000003" w:csb1="00000000"/>
  </w:font>
  <w:font w:name="Goudy ExtraBold">
    <w:altName w:val="Calibri"/>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aila Arthur">
    <w15:presenceInfo w15:providerId="None" w15:userId="Mikaila Arthur"/>
  </w15:person>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4E"/>
    <w:rsid w:val="000E024E"/>
    <w:rsid w:val="0023466C"/>
    <w:rsid w:val="00E70CE8"/>
    <w:rsid w:val="00FC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E99F"/>
  <w15:chartTrackingRefBased/>
  <w15:docId w15:val="{D0AF88C7-32C1-44A3-AF09-4725D039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24E"/>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qFormat/>
    <w:rsid w:val="000E024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3">
    <w:name w:val="heading 3"/>
    <w:basedOn w:val="Normal"/>
    <w:next w:val="Normal"/>
    <w:link w:val="Heading3Char"/>
    <w:uiPriority w:val="9"/>
    <w:semiHidden/>
    <w:unhideWhenUsed/>
    <w:qFormat/>
    <w:rsid w:val="000E024E"/>
    <w:pPr>
      <w:keepNext/>
      <w:keepLines/>
      <w:spacing w:before="40"/>
      <w:outlineLvl w:val="2"/>
    </w:pPr>
    <w:rPr>
      <w:rFonts w:asciiTheme="majorHAnsi" w:eastAsiaTheme="majorEastAsia" w:hAnsiTheme="majorHAnsi" w:cstheme="majorBidi"/>
      <w:color w:val="294E1C" w:themeColor="accent1" w:themeShade="7F"/>
      <w:sz w:val="24"/>
    </w:rPr>
  </w:style>
  <w:style w:type="paragraph" w:styleId="Heading8">
    <w:name w:val="heading 8"/>
    <w:basedOn w:val="Normal"/>
    <w:next w:val="Normal"/>
    <w:link w:val="Heading8Char"/>
    <w:uiPriority w:val="9"/>
    <w:semiHidden/>
    <w:unhideWhenUsed/>
    <w:qFormat/>
    <w:rsid w:val="000E024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FC2052"/>
    <w:pPr>
      <w:spacing w:before="200"/>
      <w:ind w:left="864" w:right="864"/>
      <w:jc w:val="both"/>
    </w:pPr>
    <w:rPr>
      <w:iCs/>
      <w:color w:val="404040" w:themeColor="text1" w:themeTint="BF"/>
    </w:rPr>
  </w:style>
  <w:style w:type="character" w:customStyle="1" w:styleId="QuoteChar">
    <w:name w:val="Quote Char"/>
    <w:basedOn w:val="DefaultParagraphFont"/>
    <w:link w:val="Quote"/>
    <w:uiPriority w:val="29"/>
    <w:rsid w:val="00FC2052"/>
    <w:rPr>
      <w:iCs/>
      <w:color w:val="404040" w:themeColor="text1" w:themeTint="BF"/>
    </w:rPr>
  </w:style>
  <w:style w:type="character" w:customStyle="1" w:styleId="Heading1Char">
    <w:name w:val="Heading 1 Char"/>
    <w:basedOn w:val="DefaultParagraphFont"/>
    <w:link w:val="Heading1"/>
    <w:rsid w:val="000E024E"/>
    <w:rPr>
      <w:rFonts w:ascii="Adobe Garamond Pro" w:eastAsia="Times New Roman" w:hAnsi="Adobe Garamond Pro" w:cs="Times New Roman"/>
      <w:caps/>
      <w:spacing w:val="20"/>
      <w:sz w:val="40"/>
      <w:szCs w:val="24"/>
    </w:rPr>
  </w:style>
  <w:style w:type="paragraph" w:customStyle="1" w:styleId="sc-BodyText">
    <w:name w:val="sc-BodyText"/>
    <w:basedOn w:val="Normal"/>
    <w:rsid w:val="000E024E"/>
    <w:pPr>
      <w:spacing w:before="40" w:line="220" w:lineRule="exact"/>
    </w:pPr>
    <w:rPr>
      <w:rFonts w:ascii="Gill Sans MT" w:hAnsi="Gill Sans MT"/>
    </w:rPr>
  </w:style>
  <w:style w:type="paragraph" w:customStyle="1" w:styleId="sc-Requirement">
    <w:name w:val="sc-Requirement"/>
    <w:basedOn w:val="sc-BodyText"/>
    <w:qFormat/>
    <w:rsid w:val="000E024E"/>
    <w:pPr>
      <w:suppressAutoHyphens/>
      <w:spacing w:before="0" w:line="240" w:lineRule="auto"/>
    </w:pPr>
  </w:style>
  <w:style w:type="paragraph" w:customStyle="1" w:styleId="sc-RequirementRight">
    <w:name w:val="sc-RequirementRight"/>
    <w:basedOn w:val="sc-Requirement"/>
    <w:rsid w:val="000E024E"/>
    <w:pPr>
      <w:jc w:val="right"/>
    </w:pPr>
  </w:style>
  <w:style w:type="paragraph" w:customStyle="1" w:styleId="sc-RequirementsSubheading">
    <w:name w:val="sc-RequirementsSubheading"/>
    <w:basedOn w:val="sc-Requirement"/>
    <w:qFormat/>
    <w:rsid w:val="000E024E"/>
    <w:pPr>
      <w:keepNext/>
      <w:spacing w:before="80"/>
    </w:pPr>
    <w:rPr>
      <w:b/>
    </w:rPr>
  </w:style>
  <w:style w:type="paragraph" w:customStyle="1" w:styleId="sc-RequirementsHeading">
    <w:name w:val="sc-RequirementsHeading"/>
    <w:basedOn w:val="Heading3"/>
    <w:qFormat/>
    <w:rsid w:val="000E024E"/>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0E024E"/>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Total">
    <w:name w:val="sc-Total"/>
    <w:basedOn w:val="sc-RequirementsSubheading"/>
    <w:qFormat/>
    <w:rsid w:val="000E024E"/>
    <w:rPr>
      <w:color w:val="000000" w:themeColor="text1"/>
    </w:rPr>
  </w:style>
  <w:style w:type="character" w:customStyle="1" w:styleId="Heading3Char">
    <w:name w:val="Heading 3 Char"/>
    <w:basedOn w:val="DefaultParagraphFont"/>
    <w:link w:val="Heading3"/>
    <w:uiPriority w:val="9"/>
    <w:semiHidden/>
    <w:rsid w:val="000E024E"/>
    <w:rPr>
      <w:rFonts w:asciiTheme="majorHAnsi" w:eastAsiaTheme="majorEastAsia" w:hAnsiTheme="majorHAnsi" w:cstheme="majorBidi"/>
      <w:color w:val="294E1C" w:themeColor="accent1" w:themeShade="7F"/>
      <w:sz w:val="24"/>
      <w:szCs w:val="24"/>
    </w:rPr>
  </w:style>
  <w:style w:type="paragraph" w:customStyle="1" w:styleId="sc-CourseTitle">
    <w:name w:val="sc-CourseTitle"/>
    <w:basedOn w:val="Heading8"/>
    <w:rsid w:val="000E024E"/>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0E024E"/>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23466C"/>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3466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62358">
      <w:bodyDiv w:val="1"/>
      <w:marLeft w:val="0"/>
      <w:marRight w:val="0"/>
      <w:marTop w:val="0"/>
      <w:marBottom w:val="0"/>
      <w:divBdr>
        <w:top w:val="none" w:sz="0" w:space="0" w:color="auto"/>
        <w:left w:val="none" w:sz="0" w:space="0" w:color="auto"/>
        <w:bottom w:val="none" w:sz="0" w:space="0" w:color="auto"/>
        <w:right w:val="none" w:sz="0" w:space="0" w:color="auto"/>
      </w:divBdr>
    </w:div>
    <w:div w:id="1213884567">
      <w:bodyDiv w:val="1"/>
      <w:marLeft w:val="0"/>
      <w:marRight w:val="0"/>
      <w:marTop w:val="0"/>
      <w:marBottom w:val="0"/>
      <w:divBdr>
        <w:top w:val="none" w:sz="0" w:space="0" w:color="auto"/>
        <w:left w:val="none" w:sz="0" w:space="0" w:color="auto"/>
        <w:bottom w:val="none" w:sz="0" w:space="0" w:color="auto"/>
        <w:right w:val="none" w:sz="0" w:space="0" w:color="auto"/>
      </w:divBdr>
    </w:div>
    <w:div w:id="1354726890">
      <w:bodyDiv w:val="1"/>
      <w:marLeft w:val="0"/>
      <w:marRight w:val="0"/>
      <w:marTop w:val="0"/>
      <w:marBottom w:val="0"/>
      <w:divBdr>
        <w:top w:val="none" w:sz="0" w:space="0" w:color="auto"/>
        <w:left w:val="none" w:sz="0" w:space="0" w:color="auto"/>
        <w:bottom w:val="none" w:sz="0" w:space="0" w:color="auto"/>
        <w:right w:val="none" w:sz="0" w:space="0" w:color="auto"/>
      </w:divBdr>
    </w:div>
    <w:div w:id="16640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
      <a:majorFont>
        <a:latin typeface="Georgia"/>
        <a:ea typeface=""/>
        <a:cs typeface=""/>
      </a:majorFont>
      <a:minorFont>
        <a:latin typeface="Georgia"/>
        <a:ea typeface=""/>
        <a:cs typeface=""/>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67Z3ZXSPZZWZ-947-709</_dlc_DocId>
    <_dlc_DocIdUrl xmlns="67887a43-7e4d-4c1c-91d7-15e417b1b8ab">
      <Url>https://w3.ric.edu/curriculum_committee/_layouts/15/DocIdRedir.aspx?ID=67Z3ZXSPZZWZ-947-709</Url>
      <Description>67Z3ZXSPZZWZ-947-709</Description>
    </_dlc_DocIdUrl>
  </documentManagement>
</p:properties>
</file>

<file path=customXml/itemProps1.xml><?xml version="1.0" encoding="utf-8"?>
<ds:datastoreItem xmlns:ds="http://schemas.openxmlformats.org/officeDocument/2006/customXml" ds:itemID="{4405AD2B-CDC6-4763-89AE-05684AE33C8C}"/>
</file>

<file path=customXml/itemProps2.xml><?xml version="1.0" encoding="utf-8"?>
<ds:datastoreItem xmlns:ds="http://schemas.openxmlformats.org/officeDocument/2006/customXml" ds:itemID="{055AB7FE-9C83-44ED-B1E8-FFCAA134F005}"/>
</file>

<file path=customXml/itemProps3.xml><?xml version="1.0" encoding="utf-8"?>
<ds:datastoreItem xmlns:ds="http://schemas.openxmlformats.org/officeDocument/2006/customXml" ds:itemID="{43AA495B-F32F-4C58-8EF3-2FBDDD35A1EA}"/>
</file>

<file path=customXml/itemProps4.xml><?xml version="1.0" encoding="utf-8"?>
<ds:datastoreItem xmlns:ds="http://schemas.openxmlformats.org/officeDocument/2006/customXml" ds:itemID="{87AA1DC4-5B7C-45D2-80CE-C62D5BE6F71C}"/>
</file>

<file path=docProps/app.xml><?xml version="1.0" encoding="utf-8"?>
<Properties xmlns="http://schemas.openxmlformats.org/officeDocument/2006/extended-properties" xmlns:vt="http://schemas.openxmlformats.org/officeDocument/2006/docPropsVTypes">
  <Template>Normal.dotm</Template>
  <TotalTime>4</TotalTime>
  <Pages>3</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Mikaila Arthur</dc:creator>
  <cp:keywords/>
  <dc:description/>
  <cp:lastModifiedBy>Abbotson, Susan C. W.</cp:lastModifiedBy>
  <cp:revision>3</cp:revision>
  <dcterms:created xsi:type="dcterms:W3CDTF">2020-09-10T00:21:00Z</dcterms:created>
  <dcterms:modified xsi:type="dcterms:W3CDTF">2020-10-08T17:34:00Z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ac90e2cf-c4fc-432a-a607-5c955005a089</vt:lpwstr>
  </property>
</Properties>
</file>