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67Z3ZXSPZZWZ-947-211</_dlc_DocId>
    <_dlc_DocIdUrl xmlns="67887a43-7e4d-4c1c-91d7-15e417b1b8ab">
      <Url>http://www-prod.ric.edu/curriculum_committee/_layouts/15/DocIdRedir.aspx?ID=67Z3ZXSPZZWZ-947-211</Url>
      <Description>67Z3ZXSPZZWZ-947-211</Description>
    </_dlc_DocIdUrl>
  </documentManagement>
</p:properties>
</file>

<file path=customXml/itemProps1.xml><?xml version="1.0" encoding="utf-8"?>
<ds:datastoreItem xmlns:ds="http://schemas.openxmlformats.org/officeDocument/2006/customXml" ds:itemID="{EE3DBC4E-C870-4B46-A10E-541C6488C1F5}"/>
</file>

<file path=customXml/itemProps2.xml><?xml version="1.0" encoding="utf-8"?>
<ds:datastoreItem xmlns:ds="http://schemas.openxmlformats.org/officeDocument/2006/customXml" ds:itemID="{5E907191-629E-4207-9846-80695C7822FB}"/>
</file>

<file path=customXml/itemProps3.xml><?xml version="1.0" encoding="utf-8"?>
<ds:datastoreItem xmlns:ds="http://schemas.openxmlformats.org/officeDocument/2006/customXml" ds:itemID="{021B75E8-2D2E-4A13-81D6-297C5A4F2F5D}"/>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EDC9B2B9-BAB3-4DF6-BB95-471420327364}"/>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0c75b4ac-44e9-4aa5-8fd3-50fed2842e61</vt:lpwstr>
  </property>
</Properties>
</file>