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0905" w:type="dxa"/>
        <w:tblInd w:w="468" w:type="dxa"/>
        <w:tblLook w:val="04A0" w:firstRow="1" w:lastRow="0" w:firstColumn="1" w:lastColumn="0" w:noHBand="0" w:noVBand="1"/>
      </w:tblPr>
      <w:tblGrid>
        <w:gridCol w:w="10905"/>
      </w:tblGrid>
      <w:tr w:rsidR="0044531D" w:rsidRPr="00B75FA4" w14:paraId="5ADC7F9B" w14:textId="77777777" w:rsidTr="00AF662B">
        <w:trPr>
          <w:trHeight w:val="304"/>
        </w:trPr>
        <w:tc>
          <w:tcPr>
            <w:tcW w:w="10905" w:type="dxa"/>
            <w:vMerge w:val="restart"/>
            <w:tcBorders>
              <w:top w:val="nil"/>
              <w:left w:val="nil"/>
              <w:bottom w:val="nil"/>
              <w:right w:val="nil"/>
            </w:tcBorders>
            <w:shd w:val="clear" w:color="auto" w:fill="auto"/>
            <w:hideMark/>
          </w:tcPr>
          <w:p w14:paraId="0C578606" w14:textId="39E35EAB" w:rsidR="00F52CAC" w:rsidRPr="005E62CB" w:rsidRDefault="00F52CAC" w:rsidP="00F52CAC">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cstheme="majorHAnsi"/>
                <w:w w:val="90"/>
                <w:sz w:val="20"/>
                <w:szCs w:val="20"/>
              </w:rPr>
              <w:t>Courses with (WID) are Writing in the Discipline courses and will be writing intensive.</w:t>
            </w:r>
            <w:r>
              <w:rPr>
                <w:rFonts w:asciiTheme="majorHAnsi" w:hAnsiTheme="majorHAnsi" w:cstheme="majorHAnsi"/>
                <w:w w:val="90"/>
                <w:sz w:val="20"/>
                <w:szCs w:val="20"/>
              </w:rPr>
              <w:t xml:space="preserv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p>
          <w:p w14:paraId="513167D9" w14:textId="11CD4EDF" w:rsidR="00AF662B" w:rsidRPr="006A01C3" w:rsidRDefault="00AF662B" w:rsidP="006A01C3">
            <w:pPr>
              <w:ind w:left="180"/>
              <w:rPr>
                <w:rFonts w:asciiTheme="majorHAnsi" w:hAnsiTheme="majorHAnsi"/>
                <w:w w:val="90"/>
                <w:sz w:val="22"/>
                <w:szCs w:val="22"/>
              </w:rPr>
            </w:pPr>
          </w:p>
          <w:tbl>
            <w:tblPr>
              <w:tblStyle w:val="TableGrid"/>
              <w:tblW w:w="4736" w:type="pct"/>
              <w:tblInd w:w="288" w:type="dxa"/>
              <w:tblLook w:val="04A0" w:firstRow="1" w:lastRow="0" w:firstColumn="1" w:lastColumn="0" w:noHBand="0" w:noVBand="1"/>
            </w:tblPr>
            <w:tblGrid>
              <w:gridCol w:w="3274"/>
              <w:gridCol w:w="1230"/>
              <w:gridCol w:w="4177"/>
              <w:gridCol w:w="1434"/>
            </w:tblGrid>
            <w:tr w:rsidR="00AF662B" w:rsidRPr="00A52EF9" w14:paraId="0C9929BD" w14:textId="77777777" w:rsidTr="005C5564">
              <w:trPr>
                <w:trHeight w:val="245"/>
              </w:trPr>
              <w:tc>
                <w:tcPr>
                  <w:tcW w:w="1618" w:type="pct"/>
                  <w:shd w:val="clear" w:color="auto" w:fill="D9D9D9"/>
                </w:tcPr>
                <w:p w14:paraId="0B77498A" w14:textId="77777777" w:rsidR="00AF662B" w:rsidRPr="00A52EF9" w:rsidRDefault="00AF662B" w:rsidP="00AF662B">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General Education Checklist </w:t>
                  </w:r>
                </w:p>
              </w:tc>
              <w:tc>
                <w:tcPr>
                  <w:tcW w:w="608" w:type="pct"/>
                  <w:shd w:val="clear" w:color="auto" w:fill="D9D9D9"/>
                </w:tcPr>
                <w:p w14:paraId="7A4CF73D" w14:textId="77777777" w:rsidR="00AF662B" w:rsidRPr="00A52EF9" w:rsidRDefault="00AF662B" w:rsidP="00AF662B">
                  <w:pPr>
                    <w:jc w:val="cente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Course(s)</w:t>
                  </w:r>
                </w:p>
              </w:tc>
              <w:tc>
                <w:tcPr>
                  <w:tcW w:w="2065" w:type="pct"/>
                  <w:shd w:val="clear" w:color="auto" w:fill="D9D9D9"/>
                </w:tcPr>
                <w:p w14:paraId="75B5E3A1" w14:textId="77777777" w:rsidR="00AF662B" w:rsidRDefault="00AF662B" w:rsidP="00AF662B">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709" w:type="pct"/>
                  <w:shd w:val="clear" w:color="auto" w:fill="D9D9D9"/>
                </w:tcPr>
                <w:p w14:paraId="5DEA9D15" w14:textId="77777777" w:rsidR="00AF662B" w:rsidRPr="00A52EF9" w:rsidRDefault="00AF662B" w:rsidP="00AF662B">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AF662B" w:rsidRPr="00A52EF9" w14:paraId="3F47F0BF" w14:textId="77777777" w:rsidTr="005C5564">
              <w:trPr>
                <w:trHeight w:val="245"/>
              </w:trPr>
              <w:tc>
                <w:tcPr>
                  <w:tcW w:w="1618" w:type="pct"/>
                </w:tcPr>
                <w:p w14:paraId="6AE2FBD8" w14:textId="77777777" w:rsidR="00AF662B" w:rsidRDefault="00AF662B" w:rsidP="00AF662B">
                  <w:pPr>
                    <w:pStyle w:val="TableParagraph"/>
                    <w:tabs>
                      <w:tab w:val="left" w:pos="5399"/>
                    </w:tabs>
                    <w:rPr>
                      <w:rFonts w:asciiTheme="majorHAnsi" w:hAnsiTheme="majorHAnsi"/>
                      <w:vertAlign w:val="superscript"/>
                    </w:rPr>
                  </w:pPr>
                  <w:r w:rsidRPr="00C43C2E">
                    <w:rPr>
                      <w:rFonts w:asciiTheme="majorHAnsi" w:hAnsiTheme="majorHAnsi"/>
                    </w:rPr>
                    <w:t>Second Language Requirement</w:t>
                  </w:r>
                  <w:r w:rsidRPr="00C43C2E">
                    <w:rPr>
                      <w:rFonts w:asciiTheme="majorHAnsi" w:hAnsiTheme="majorHAnsi"/>
                      <w:vertAlign w:val="superscript"/>
                    </w:rPr>
                    <w:t>†</w:t>
                  </w:r>
                </w:p>
                <w:p w14:paraId="20E4728D" w14:textId="77777777" w:rsidR="00AF662B" w:rsidRPr="00C43C2E" w:rsidRDefault="00AF662B" w:rsidP="00AF662B">
                  <w:pPr>
                    <w:pStyle w:val="TableParagraph"/>
                    <w:tabs>
                      <w:tab w:val="left" w:pos="5399"/>
                    </w:tabs>
                    <w:rPr>
                      <w:rFonts w:asciiTheme="majorHAnsi" w:hAnsiTheme="majorHAnsi"/>
                      <w:spacing w:val="2"/>
                    </w:rPr>
                  </w:pPr>
                  <w:r>
                    <w:rPr>
                      <w:rFonts w:asciiTheme="majorHAnsi" w:hAnsiTheme="majorHAnsi"/>
                      <w:vertAlign w:val="superscript"/>
                    </w:rPr>
                    <w:t>(possibly two courses)</w:t>
                  </w:r>
                </w:p>
              </w:tc>
              <w:tc>
                <w:tcPr>
                  <w:tcW w:w="608" w:type="pct"/>
                </w:tcPr>
                <w:p w14:paraId="770B400B" w14:textId="77777777" w:rsidR="00AF662B" w:rsidRPr="00A52EF9" w:rsidRDefault="00AF662B" w:rsidP="00AF662B">
                  <w:pPr>
                    <w:jc w:val="right"/>
                    <w:rPr>
                      <w:rFonts w:asciiTheme="majorHAnsi" w:eastAsia="Times New Roman" w:hAnsiTheme="majorHAnsi" w:cs="Times New Roman"/>
                      <w:sz w:val="22"/>
                      <w:szCs w:val="22"/>
                    </w:rPr>
                  </w:pPr>
                </w:p>
              </w:tc>
              <w:tc>
                <w:tcPr>
                  <w:tcW w:w="2065" w:type="pct"/>
                </w:tcPr>
                <w:p w14:paraId="05A4E860" w14:textId="77777777" w:rsidR="00AF662B" w:rsidRPr="00C43C2E" w:rsidRDefault="00AF662B" w:rsidP="00AF662B">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NURS 207 </w:t>
                  </w:r>
                  <w:r w:rsidRPr="00C43C2E">
                    <w:rPr>
                      <w:rFonts w:asciiTheme="majorHAnsi" w:eastAsia="MS Gothic" w:hAnsiTheme="majorHAnsi" w:cs="Minion Pro Bold Cond Ital"/>
                      <w:color w:val="000000"/>
                      <w:sz w:val="22"/>
                      <w:szCs w:val="22"/>
                    </w:rPr>
                    <w:t>Baccalaureate Education for Nursing*</w:t>
                  </w:r>
                </w:p>
              </w:tc>
              <w:tc>
                <w:tcPr>
                  <w:tcW w:w="709" w:type="pct"/>
                </w:tcPr>
                <w:p w14:paraId="22736073" w14:textId="77777777" w:rsidR="00AF662B" w:rsidRPr="00FC2152" w:rsidRDefault="00AF662B" w:rsidP="00AF662B">
                  <w:pPr>
                    <w:pStyle w:val="ListParagraph"/>
                    <w:ind w:left="360"/>
                    <w:jc w:val="both"/>
                    <w:rPr>
                      <w:rFonts w:ascii="Minion Pro Bold Cond Ital" w:eastAsia="MS Gothic" w:hAnsi="Minion Pro Bold Cond Ital" w:cs="Minion Pro Bold Cond Ital"/>
                      <w:color w:val="000000"/>
                      <w:sz w:val="22"/>
                      <w:szCs w:val="22"/>
                    </w:rPr>
                  </w:pPr>
                </w:p>
              </w:tc>
            </w:tr>
            <w:tr w:rsidR="00AF662B" w:rsidRPr="00A52EF9" w14:paraId="78CA433A" w14:textId="77777777" w:rsidTr="005C5564">
              <w:trPr>
                <w:trHeight w:val="278"/>
              </w:trPr>
              <w:tc>
                <w:tcPr>
                  <w:tcW w:w="1618" w:type="pct"/>
                </w:tcPr>
                <w:p w14:paraId="45EBA87A" w14:textId="77777777" w:rsidR="00AF662B" w:rsidRPr="00A52EF9" w:rsidRDefault="00AF662B" w:rsidP="00AF662B">
                  <w:pPr>
                    <w:rPr>
                      <w:rFonts w:asciiTheme="majorHAnsi" w:eastAsia="Times New Roman" w:hAnsiTheme="majorHAnsi" w:cs="Times New Roman"/>
                      <w:sz w:val="22"/>
                      <w:szCs w:val="22"/>
                    </w:rPr>
                  </w:pPr>
                  <w:r w:rsidRPr="00C43C2E">
                    <w:rPr>
                      <w:rFonts w:asciiTheme="majorHAnsi" w:hAnsiTheme="majorHAnsi"/>
                    </w:rPr>
                    <w:t>First Year Seminar</w:t>
                  </w:r>
                </w:p>
              </w:tc>
              <w:tc>
                <w:tcPr>
                  <w:tcW w:w="608" w:type="pct"/>
                </w:tcPr>
                <w:p w14:paraId="7CAB2908" w14:textId="77777777" w:rsidR="00AF662B" w:rsidRPr="00A52EF9" w:rsidRDefault="00AF662B" w:rsidP="00AF662B">
                  <w:pPr>
                    <w:jc w:val="right"/>
                    <w:rPr>
                      <w:rFonts w:asciiTheme="majorHAnsi" w:eastAsia="Times New Roman" w:hAnsiTheme="majorHAnsi" w:cs="Times New Roman"/>
                      <w:sz w:val="22"/>
                      <w:szCs w:val="22"/>
                    </w:rPr>
                  </w:pPr>
                </w:p>
              </w:tc>
              <w:tc>
                <w:tcPr>
                  <w:tcW w:w="2065" w:type="pct"/>
                  <w:vMerge w:val="restart"/>
                </w:tcPr>
                <w:p w14:paraId="4D521A81" w14:textId="088FDAE6" w:rsidR="00AF662B" w:rsidRPr="00C43C2E" w:rsidRDefault="00AF662B" w:rsidP="00AF662B">
                  <w:pPr>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w w:val="95"/>
                      <w:sz w:val="22"/>
                      <w:szCs w:val="22"/>
                    </w:rPr>
                    <w:t>NURS 225</w:t>
                  </w:r>
                  <w:r w:rsidRPr="00C43C2E">
                    <w:rPr>
                      <w:rFonts w:asciiTheme="majorHAnsi" w:eastAsia="MS Gothic" w:hAnsiTheme="majorHAnsi" w:cs="Minion Pro Bold Cond Ital"/>
                      <w:color w:val="000000"/>
                      <w:w w:val="95"/>
                      <w:sz w:val="22"/>
                      <w:szCs w:val="22"/>
                    </w:rPr>
                    <w:t xml:space="preserve"> Introduction to Writing and Research in Nursing*</w:t>
                  </w:r>
                  <w:r w:rsidR="00F52CAC">
                    <w:rPr>
                      <w:rFonts w:asciiTheme="majorHAnsi" w:eastAsia="MS Gothic" w:hAnsiTheme="majorHAnsi" w:cs="Minion Pro Bold Cond Ital"/>
                      <w:color w:val="000000"/>
                      <w:w w:val="95"/>
                      <w:sz w:val="22"/>
                      <w:szCs w:val="22"/>
                    </w:rPr>
                    <w:t xml:space="preserve"> (WID)</w:t>
                  </w:r>
                </w:p>
              </w:tc>
              <w:tc>
                <w:tcPr>
                  <w:tcW w:w="709" w:type="pct"/>
                  <w:vMerge w:val="restart"/>
                </w:tcPr>
                <w:p w14:paraId="61CFB7C7" w14:textId="77777777" w:rsidR="00AF662B" w:rsidRPr="00A52EF9" w:rsidRDefault="00AF662B" w:rsidP="00AF662B">
                  <w:pPr>
                    <w:rPr>
                      <w:rFonts w:ascii="Minion Pro Bold Cond Ital" w:eastAsia="MS Gothic" w:hAnsi="Minion Pro Bold Cond Ital" w:cs="Minion Pro Bold Cond Ital"/>
                      <w:color w:val="000000"/>
                      <w:sz w:val="22"/>
                      <w:szCs w:val="22"/>
                    </w:rPr>
                  </w:pPr>
                </w:p>
              </w:tc>
            </w:tr>
            <w:tr w:rsidR="00AF662B" w:rsidRPr="00A52EF9" w14:paraId="74E5F1E5" w14:textId="77777777" w:rsidTr="005C5564">
              <w:trPr>
                <w:trHeight w:val="277"/>
              </w:trPr>
              <w:tc>
                <w:tcPr>
                  <w:tcW w:w="1618" w:type="pct"/>
                </w:tcPr>
                <w:p w14:paraId="02820488" w14:textId="77777777" w:rsidR="00AF662B" w:rsidRPr="00C43C2E" w:rsidRDefault="00AF662B" w:rsidP="00AF662B">
                  <w:pPr>
                    <w:rPr>
                      <w:rFonts w:asciiTheme="majorHAnsi" w:hAnsiTheme="majorHAnsi"/>
                    </w:rPr>
                  </w:pPr>
                  <w:r w:rsidRPr="00C43C2E">
                    <w:rPr>
                      <w:rFonts w:asciiTheme="majorHAnsi" w:hAnsiTheme="majorHAnsi"/>
                    </w:rPr>
                    <w:t>First Year Writing</w:t>
                  </w:r>
                </w:p>
              </w:tc>
              <w:tc>
                <w:tcPr>
                  <w:tcW w:w="608" w:type="pct"/>
                </w:tcPr>
                <w:p w14:paraId="50F47DA4" w14:textId="77777777" w:rsidR="00AF662B" w:rsidRPr="00C43C2E" w:rsidRDefault="00AF662B" w:rsidP="00AF662B">
                  <w:pPr>
                    <w:jc w:val="right"/>
                    <w:rPr>
                      <w:rFonts w:asciiTheme="majorHAnsi" w:hAnsiTheme="majorHAnsi"/>
                    </w:rPr>
                  </w:pPr>
                </w:p>
              </w:tc>
              <w:tc>
                <w:tcPr>
                  <w:tcW w:w="2065" w:type="pct"/>
                  <w:vMerge/>
                </w:tcPr>
                <w:p w14:paraId="4E84EB2D" w14:textId="77777777" w:rsidR="00AF662B" w:rsidRDefault="00AF662B" w:rsidP="00AF662B">
                  <w:pPr>
                    <w:rPr>
                      <w:rFonts w:asciiTheme="majorHAnsi" w:eastAsia="MS Gothic" w:hAnsiTheme="majorHAnsi" w:cs="Minion Pro Bold Cond Ital"/>
                      <w:color w:val="000000"/>
                      <w:w w:val="95"/>
                      <w:sz w:val="22"/>
                      <w:szCs w:val="22"/>
                    </w:rPr>
                  </w:pPr>
                </w:p>
              </w:tc>
              <w:tc>
                <w:tcPr>
                  <w:tcW w:w="709" w:type="pct"/>
                  <w:vMerge/>
                </w:tcPr>
                <w:p w14:paraId="5C3EEBB9" w14:textId="77777777" w:rsidR="00AF662B" w:rsidRPr="00A52EF9" w:rsidRDefault="00AF662B" w:rsidP="00AF662B">
                  <w:pPr>
                    <w:rPr>
                      <w:rFonts w:ascii="Minion Pro Bold Cond Ital" w:eastAsia="MS Gothic" w:hAnsi="Minion Pro Bold Cond Ital" w:cs="Minion Pro Bold Cond Ital"/>
                      <w:color w:val="000000"/>
                      <w:sz w:val="22"/>
                      <w:szCs w:val="22"/>
                    </w:rPr>
                  </w:pPr>
                </w:p>
              </w:tc>
            </w:tr>
            <w:tr w:rsidR="00AF662B" w:rsidRPr="00A52EF9" w14:paraId="7359544C" w14:textId="77777777" w:rsidTr="005C5564">
              <w:trPr>
                <w:trHeight w:val="278"/>
              </w:trPr>
              <w:tc>
                <w:tcPr>
                  <w:tcW w:w="1618" w:type="pct"/>
                </w:tcPr>
                <w:p w14:paraId="347DC84A" w14:textId="77777777" w:rsidR="00AF662B" w:rsidRPr="00A52EF9" w:rsidRDefault="00AF662B" w:rsidP="00AF662B">
                  <w:pPr>
                    <w:rPr>
                      <w:rFonts w:asciiTheme="majorHAnsi" w:eastAsia="Times New Roman" w:hAnsiTheme="majorHAnsi" w:cs="Times New Roman"/>
                      <w:sz w:val="22"/>
                      <w:szCs w:val="22"/>
                    </w:rPr>
                  </w:pPr>
                  <w:r w:rsidRPr="00C43C2E">
                    <w:rPr>
                      <w:rFonts w:asciiTheme="majorHAnsi" w:hAnsiTheme="majorHAnsi"/>
                    </w:rPr>
                    <w:t>Arts-Visual and Performing</w:t>
                  </w:r>
                </w:p>
              </w:tc>
              <w:tc>
                <w:tcPr>
                  <w:tcW w:w="608" w:type="pct"/>
                </w:tcPr>
                <w:p w14:paraId="5879A083" w14:textId="77777777" w:rsidR="00AF662B" w:rsidRPr="00A52EF9" w:rsidRDefault="00AF662B" w:rsidP="00AF662B">
                  <w:pPr>
                    <w:jc w:val="right"/>
                    <w:rPr>
                      <w:rFonts w:asciiTheme="majorHAnsi" w:eastAsia="Times New Roman" w:hAnsiTheme="majorHAnsi" w:cs="Times New Roman"/>
                      <w:sz w:val="22"/>
                      <w:szCs w:val="22"/>
                    </w:rPr>
                  </w:pPr>
                </w:p>
              </w:tc>
              <w:tc>
                <w:tcPr>
                  <w:tcW w:w="2065" w:type="pct"/>
                  <w:vMerge w:val="restart"/>
                </w:tcPr>
                <w:p w14:paraId="4D0FB56E" w14:textId="77777777" w:rsidR="00AF662B" w:rsidRPr="00C43C2E" w:rsidRDefault="00AF662B" w:rsidP="00AF662B">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NURS 316 </w:t>
                  </w:r>
                  <w:r w:rsidRPr="00C43C2E">
                    <w:rPr>
                      <w:rFonts w:asciiTheme="majorHAnsi" w:eastAsia="MS Gothic" w:hAnsiTheme="majorHAnsi" w:cs="Minion Pro Bold Cond Ital"/>
                      <w:color w:val="000000"/>
                      <w:sz w:val="22"/>
                      <w:szCs w:val="22"/>
                    </w:rPr>
                    <w:t>Physical Assessment of the Adult and Child*</w:t>
                  </w:r>
                </w:p>
              </w:tc>
              <w:tc>
                <w:tcPr>
                  <w:tcW w:w="709" w:type="pct"/>
                  <w:vMerge w:val="restart"/>
                </w:tcPr>
                <w:p w14:paraId="6EB00FC1" w14:textId="77777777" w:rsidR="00AF662B" w:rsidRPr="00A52EF9" w:rsidRDefault="00AF662B" w:rsidP="00AF662B">
                  <w:pPr>
                    <w:rPr>
                      <w:rFonts w:ascii="Minion Pro Bold Cond Ital" w:eastAsia="MS Gothic" w:hAnsi="Minion Pro Bold Cond Ital" w:cs="Minion Pro Bold Cond Ital"/>
                      <w:color w:val="000000"/>
                      <w:sz w:val="22"/>
                      <w:szCs w:val="22"/>
                    </w:rPr>
                  </w:pPr>
                </w:p>
              </w:tc>
            </w:tr>
            <w:tr w:rsidR="00AF662B" w:rsidRPr="00A52EF9" w14:paraId="13BA93F4" w14:textId="77777777" w:rsidTr="005C5564">
              <w:trPr>
                <w:trHeight w:val="277"/>
              </w:trPr>
              <w:tc>
                <w:tcPr>
                  <w:tcW w:w="1618" w:type="pct"/>
                </w:tcPr>
                <w:p w14:paraId="4503EB1C" w14:textId="77777777" w:rsidR="00AF662B" w:rsidRPr="00A52EF9" w:rsidRDefault="00AF662B" w:rsidP="00AF662B">
                  <w:pPr>
                    <w:rPr>
                      <w:rFonts w:asciiTheme="majorHAnsi" w:eastAsia="Times New Roman" w:hAnsiTheme="majorHAnsi" w:cs="Times New Roman"/>
                      <w:sz w:val="22"/>
                      <w:szCs w:val="22"/>
                    </w:rPr>
                  </w:pPr>
                  <w:r>
                    <w:rPr>
                      <w:rFonts w:asciiTheme="majorHAnsi" w:eastAsia="Times New Roman" w:hAnsiTheme="majorHAnsi" w:cs="Times New Roman"/>
                      <w:sz w:val="22"/>
                      <w:szCs w:val="22"/>
                    </w:rPr>
                    <w:t>History</w:t>
                  </w:r>
                </w:p>
              </w:tc>
              <w:tc>
                <w:tcPr>
                  <w:tcW w:w="608" w:type="pct"/>
                </w:tcPr>
                <w:p w14:paraId="425F629E" w14:textId="77777777" w:rsidR="00AF662B" w:rsidRPr="00A52EF9" w:rsidRDefault="00AF662B" w:rsidP="00AF662B">
                  <w:pPr>
                    <w:jc w:val="right"/>
                    <w:rPr>
                      <w:rFonts w:asciiTheme="majorHAnsi" w:eastAsia="Times New Roman" w:hAnsiTheme="majorHAnsi" w:cs="Times New Roman"/>
                      <w:sz w:val="22"/>
                      <w:szCs w:val="22"/>
                    </w:rPr>
                  </w:pPr>
                </w:p>
              </w:tc>
              <w:tc>
                <w:tcPr>
                  <w:tcW w:w="2065" w:type="pct"/>
                  <w:vMerge/>
                </w:tcPr>
                <w:p w14:paraId="6057323F" w14:textId="77777777" w:rsidR="00AF662B" w:rsidRDefault="00AF662B" w:rsidP="00AF662B">
                  <w:pPr>
                    <w:rPr>
                      <w:rFonts w:asciiTheme="majorHAnsi" w:eastAsia="MS Gothic" w:hAnsiTheme="majorHAnsi" w:cs="Minion Pro Bold Cond Ital"/>
                      <w:color w:val="000000"/>
                      <w:sz w:val="22"/>
                      <w:szCs w:val="22"/>
                    </w:rPr>
                  </w:pPr>
                </w:p>
              </w:tc>
              <w:tc>
                <w:tcPr>
                  <w:tcW w:w="709" w:type="pct"/>
                  <w:vMerge/>
                </w:tcPr>
                <w:p w14:paraId="0C2F757A" w14:textId="77777777" w:rsidR="00AF662B" w:rsidRPr="00A52EF9" w:rsidRDefault="00AF662B" w:rsidP="00AF662B">
                  <w:pPr>
                    <w:rPr>
                      <w:rFonts w:ascii="Minion Pro Bold Cond Ital" w:eastAsia="MS Gothic" w:hAnsi="Minion Pro Bold Cond Ital" w:cs="Minion Pro Bold Cond Ital"/>
                      <w:color w:val="000000"/>
                      <w:sz w:val="22"/>
                      <w:szCs w:val="22"/>
                    </w:rPr>
                  </w:pPr>
                </w:p>
              </w:tc>
            </w:tr>
            <w:tr w:rsidR="00AF662B" w:rsidRPr="00A52EF9" w14:paraId="734AE3BC" w14:textId="77777777" w:rsidTr="005C5564">
              <w:trPr>
                <w:trHeight w:val="245"/>
              </w:trPr>
              <w:tc>
                <w:tcPr>
                  <w:tcW w:w="1618" w:type="pct"/>
                </w:tcPr>
                <w:p w14:paraId="77CAA7D1" w14:textId="77777777" w:rsidR="00AF662B" w:rsidRPr="00C43C2E" w:rsidRDefault="00AF662B" w:rsidP="00AF662B">
                  <w:pPr>
                    <w:rPr>
                      <w:rFonts w:asciiTheme="majorHAnsi" w:eastAsia="Times New Roman" w:hAnsiTheme="majorHAnsi" w:cs="Times New Roman"/>
                      <w:sz w:val="22"/>
                      <w:szCs w:val="22"/>
                    </w:rPr>
                  </w:pPr>
                  <w:r>
                    <w:rPr>
                      <w:rFonts w:asciiTheme="majorHAnsi" w:eastAsia="Times New Roman" w:hAnsiTheme="majorHAnsi" w:cs="Times New Roman"/>
                      <w:sz w:val="22"/>
                      <w:szCs w:val="22"/>
                    </w:rPr>
                    <w:t>Literature</w:t>
                  </w:r>
                </w:p>
              </w:tc>
              <w:tc>
                <w:tcPr>
                  <w:tcW w:w="608" w:type="pct"/>
                </w:tcPr>
                <w:p w14:paraId="3494F543" w14:textId="77777777" w:rsidR="00AF662B" w:rsidRPr="00A52EF9" w:rsidRDefault="00AF662B" w:rsidP="00AF662B">
                  <w:pPr>
                    <w:jc w:val="right"/>
                    <w:rPr>
                      <w:rFonts w:asciiTheme="majorHAnsi" w:eastAsia="Times New Roman" w:hAnsiTheme="majorHAnsi" w:cs="Times New Roman"/>
                      <w:sz w:val="22"/>
                      <w:szCs w:val="22"/>
                    </w:rPr>
                  </w:pPr>
                </w:p>
              </w:tc>
              <w:tc>
                <w:tcPr>
                  <w:tcW w:w="2065" w:type="pct"/>
                </w:tcPr>
                <w:p w14:paraId="5191DA63" w14:textId="77777777" w:rsidR="00AF662B" w:rsidRPr="00C43C2E" w:rsidRDefault="00AF662B" w:rsidP="00AF662B">
                  <w:pPr>
                    <w:rPr>
                      <w:rFonts w:asciiTheme="majorHAnsi" w:eastAsia="MS Gothic" w:hAnsiTheme="majorHAnsi" w:cs="Minion Pro Bold Cond Ital"/>
                      <w:color w:val="000000"/>
                      <w:w w:val="85"/>
                      <w:sz w:val="22"/>
                      <w:szCs w:val="22"/>
                    </w:rPr>
                  </w:pPr>
                  <w:r>
                    <w:rPr>
                      <w:rFonts w:asciiTheme="majorHAnsi" w:eastAsia="MS Gothic" w:hAnsiTheme="majorHAnsi" w:cs="Minion Pro Bold Cond Ital"/>
                      <w:color w:val="000000"/>
                      <w:w w:val="85"/>
                      <w:sz w:val="22"/>
                      <w:szCs w:val="22"/>
                    </w:rPr>
                    <w:t xml:space="preserve">NURS 370  </w:t>
                  </w:r>
                  <w:r w:rsidRPr="00C43C2E">
                    <w:rPr>
                      <w:rFonts w:asciiTheme="majorHAnsi" w:eastAsia="MS Gothic" w:hAnsiTheme="majorHAnsi" w:cs="Minion Pro Bold Cond Ital"/>
                      <w:color w:val="000000"/>
                      <w:w w:val="85"/>
                      <w:sz w:val="22"/>
                      <w:szCs w:val="22"/>
                    </w:rPr>
                    <w:t>Public and Community Health Nursing*</w:t>
                  </w:r>
                </w:p>
              </w:tc>
              <w:tc>
                <w:tcPr>
                  <w:tcW w:w="709" w:type="pct"/>
                </w:tcPr>
                <w:p w14:paraId="6373FA01" w14:textId="77777777" w:rsidR="00AF662B" w:rsidRPr="00A52EF9" w:rsidRDefault="00AF662B" w:rsidP="00AF662B">
                  <w:pPr>
                    <w:rPr>
                      <w:rFonts w:ascii="Minion Pro Bold Cond Ital" w:eastAsia="MS Gothic" w:hAnsi="Minion Pro Bold Cond Ital" w:cs="Minion Pro Bold Cond Ital"/>
                      <w:color w:val="000000"/>
                      <w:sz w:val="22"/>
                      <w:szCs w:val="22"/>
                    </w:rPr>
                  </w:pPr>
                </w:p>
              </w:tc>
            </w:tr>
            <w:tr w:rsidR="00AF662B" w:rsidRPr="00A52EF9" w14:paraId="4CCFE740" w14:textId="77777777" w:rsidTr="005C5564">
              <w:trPr>
                <w:trHeight w:val="282"/>
              </w:trPr>
              <w:tc>
                <w:tcPr>
                  <w:tcW w:w="1618" w:type="pct"/>
                </w:tcPr>
                <w:p w14:paraId="1B0F884E" w14:textId="77777777" w:rsidR="00AF662B" w:rsidRPr="00A52EF9" w:rsidRDefault="00AF662B" w:rsidP="00AF662B">
                  <w:pPr>
                    <w:rPr>
                      <w:rFonts w:asciiTheme="majorHAnsi" w:eastAsia="Times New Roman" w:hAnsiTheme="majorHAnsi" w:cs="Times New Roman"/>
                      <w:sz w:val="22"/>
                      <w:szCs w:val="22"/>
                    </w:rPr>
                  </w:pPr>
                  <w:r w:rsidRPr="00C43C2E">
                    <w:rPr>
                      <w:rFonts w:asciiTheme="majorHAnsi" w:hAnsiTheme="majorHAnsi"/>
                    </w:rPr>
                    <w:t>Mathematics</w:t>
                  </w:r>
                </w:p>
              </w:tc>
              <w:tc>
                <w:tcPr>
                  <w:tcW w:w="608" w:type="pct"/>
                </w:tcPr>
                <w:p w14:paraId="3DECC61E" w14:textId="77777777" w:rsidR="00AF662B" w:rsidRPr="00A52EF9" w:rsidRDefault="00AF662B" w:rsidP="00AF662B">
                  <w:pPr>
                    <w:jc w:val="right"/>
                    <w:rPr>
                      <w:rFonts w:asciiTheme="majorHAnsi" w:eastAsia="Times New Roman" w:hAnsiTheme="majorHAnsi" w:cs="Times New Roman"/>
                      <w:sz w:val="22"/>
                      <w:szCs w:val="22"/>
                    </w:rPr>
                  </w:pPr>
                </w:p>
              </w:tc>
              <w:tc>
                <w:tcPr>
                  <w:tcW w:w="2065" w:type="pct"/>
                  <w:vMerge w:val="restart"/>
                </w:tcPr>
                <w:p w14:paraId="3F794610" w14:textId="77777777" w:rsidR="00AF662B" w:rsidRPr="00C43C2E" w:rsidRDefault="00AF662B" w:rsidP="00AF662B">
                  <w:pPr>
                    <w:rPr>
                      <w:rFonts w:asciiTheme="majorHAnsi" w:eastAsia="Times New Roman" w:hAnsiTheme="majorHAnsi" w:cs="Times New Roman"/>
                      <w:sz w:val="22"/>
                      <w:szCs w:val="22"/>
                    </w:rPr>
                  </w:pPr>
                  <w:r>
                    <w:rPr>
                      <w:rFonts w:asciiTheme="majorHAnsi" w:eastAsia="Times New Roman" w:hAnsiTheme="majorHAnsi" w:cs="Times New Roman"/>
                      <w:sz w:val="22"/>
                      <w:szCs w:val="22"/>
                    </w:rPr>
                    <w:t>NURS 376</w:t>
                  </w:r>
                  <w:r w:rsidRPr="00C43C2E">
                    <w:rPr>
                      <w:rFonts w:asciiTheme="majorHAnsi" w:eastAsia="Times New Roman" w:hAnsiTheme="majorHAnsi" w:cs="Times New Roman"/>
                      <w:sz w:val="22"/>
                      <w:szCs w:val="22"/>
                    </w:rPr>
                    <w:t xml:space="preserve"> Contemporary Nursing Practices:</w:t>
                  </w:r>
                  <w:r>
                    <w:rPr>
                      <w:rFonts w:asciiTheme="majorHAnsi" w:eastAsia="Times New Roman" w:hAnsiTheme="majorHAnsi" w:cs="Times New Roman"/>
                      <w:sz w:val="22"/>
                      <w:szCs w:val="22"/>
                    </w:rPr>
                    <w:t xml:space="preserve"> </w:t>
                  </w:r>
                  <w:r w:rsidRPr="00C43C2E">
                    <w:rPr>
                      <w:rFonts w:asciiTheme="majorHAnsi" w:eastAsia="Times New Roman" w:hAnsiTheme="majorHAnsi" w:cs="Times New Roman"/>
                      <w:sz w:val="22"/>
                      <w:szCs w:val="22"/>
                    </w:rPr>
                    <w:t>Issues and Challenges*</w:t>
                  </w:r>
                </w:p>
              </w:tc>
              <w:tc>
                <w:tcPr>
                  <w:tcW w:w="709" w:type="pct"/>
                  <w:vMerge w:val="restart"/>
                </w:tcPr>
                <w:p w14:paraId="2A81B37F" w14:textId="77777777" w:rsidR="00AF662B" w:rsidRPr="0012224F" w:rsidRDefault="00AF662B" w:rsidP="00AF662B">
                  <w:pPr>
                    <w:pStyle w:val="ListParagraph"/>
                    <w:ind w:left="360"/>
                    <w:rPr>
                      <w:rFonts w:asciiTheme="majorHAnsi" w:eastAsia="Times New Roman" w:hAnsiTheme="majorHAnsi" w:cs="Times New Roman"/>
                      <w:sz w:val="22"/>
                      <w:szCs w:val="22"/>
                    </w:rPr>
                  </w:pPr>
                </w:p>
              </w:tc>
            </w:tr>
            <w:tr w:rsidR="00AF662B" w:rsidRPr="00A52EF9" w14:paraId="7BAD1978" w14:textId="77777777" w:rsidTr="005C5564">
              <w:trPr>
                <w:trHeight w:val="281"/>
              </w:trPr>
              <w:tc>
                <w:tcPr>
                  <w:tcW w:w="1618" w:type="pct"/>
                </w:tcPr>
                <w:p w14:paraId="5EE77377" w14:textId="77777777" w:rsidR="00AF662B" w:rsidRPr="00C43C2E" w:rsidRDefault="00AF662B" w:rsidP="00AF662B">
                  <w:pPr>
                    <w:rPr>
                      <w:rFonts w:asciiTheme="majorHAnsi" w:hAnsiTheme="majorHAnsi"/>
                    </w:rPr>
                  </w:pPr>
                  <w:r w:rsidRPr="00C43C2E">
                    <w:rPr>
                      <w:rFonts w:asciiTheme="majorHAnsi" w:hAnsiTheme="majorHAnsi"/>
                    </w:rPr>
                    <w:t>Natural Science</w:t>
                  </w:r>
                </w:p>
              </w:tc>
              <w:tc>
                <w:tcPr>
                  <w:tcW w:w="608" w:type="pct"/>
                </w:tcPr>
                <w:p w14:paraId="704587AD" w14:textId="77777777" w:rsidR="00AF662B" w:rsidRPr="00C43C2E" w:rsidRDefault="00AF662B" w:rsidP="00AF662B">
                  <w:pPr>
                    <w:jc w:val="right"/>
                    <w:rPr>
                      <w:rFonts w:asciiTheme="majorHAnsi" w:hAnsiTheme="majorHAnsi"/>
                    </w:rPr>
                  </w:pPr>
                </w:p>
              </w:tc>
              <w:tc>
                <w:tcPr>
                  <w:tcW w:w="2065" w:type="pct"/>
                  <w:vMerge/>
                </w:tcPr>
                <w:p w14:paraId="3672E3D2" w14:textId="77777777" w:rsidR="00AF662B" w:rsidRDefault="00AF662B" w:rsidP="00AF662B">
                  <w:pPr>
                    <w:rPr>
                      <w:rFonts w:asciiTheme="majorHAnsi" w:eastAsia="Times New Roman" w:hAnsiTheme="majorHAnsi" w:cs="Times New Roman"/>
                      <w:sz w:val="22"/>
                      <w:szCs w:val="22"/>
                    </w:rPr>
                  </w:pPr>
                </w:p>
              </w:tc>
              <w:tc>
                <w:tcPr>
                  <w:tcW w:w="709" w:type="pct"/>
                  <w:vMerge/>
                </w:tcPr>
                <w:p w14:paraId="709ABF63" w14:textId="77777777" w:rsidR="00AF662B" w:rsidRPr="0012224F" w:rsidRDefault="00AF662B" w:rsidP="00AF662B">
                  <w:pPr>
                    <w:pStyle w:val="ListParagraph"/>
                    <w:ind w:left="360"/>
                    <w:rPr>
                      <w:rFonts w:asciiTheme="majorHAnsi" w:eastAsia="Times New Roman" w:hAnsiTheme="majorHAnsi" w:cs="Times New Roman"/>
                      <w:sz w:val="22"/>
                      <w:szCs w:val="22"/>
                    </w:rPr>
                  </w:pPr>
                </w:p>
              </w:tc>
            </w:tr>
            <w:tr w:rsidR="00AF662B" w:rsidRPr="00A52EF9" w14:paraId="3B433898" w14:textId="77777777" w:rsidTr="005C5564">
              <w:trPr>
                <w:trHeight w:val="245"/>
              </w:trPr>
              <w:tc>
                <w:tcPr>
                  <w:tcW w:w="1618" w:type="pct"/>
                </w:tcPr>
                <w:p w14:paraId="3AB70F00" w14:textId="77777777" w:rsidR="00AF662B" w:rsidRPr="00C43C2E" w:rsidRDefault="00AF662B" w:rsidP="00AF662B">
                  <w:pPr>
                    <w:rPr>
                      <w:rFonts w:asciiTheme="majorHAnsi" w:eastAsia="Times New Roman" w:hAnsiTheme="majorHAnsi" w:cs="Times New Roman"/>
                      <w:sz w:val="22"/>
                      <w:szCs w:val="22"/>
                    </w:rPr>
                  </w:pPr>
                  <w:r w:rsidRPr="00C43C2E">
                    <w:rPr>
                      <w:rFonts w:asciiTheme="majorHAnsi" w:hAnsiTheme="majorHAnsi"/>
                      <w:w w:val="80"/>
                    </w:rPr>
                    <w:t>Advanced Quantitative/ Scientific Reasoning*</w:t>
                  </w:r>
                </w:p>
              </w:tc>
              <w:tc>
                <w:tcPr>
                  <w:tcW w:w="608" w:type="pct"/>
                </w:tcPr>
                <w:p w14:paraId="1BC736F6" w14:textId="77777777" w:rsidR="00AF662B" w:rsidRPr="00A52EF9" w:rsidRDefault="00AF662B" w:rsidP="00AF662B">
                  <w:pPr>
                    <w:jc w:val="right"/>
                    <w:rPr>
                      <w:rFonts w:asciiTheme="majorHAnsi" w:eastAsia="Times New Roman" w:hAnsiTheme="majorHAnsi" w:cs="Times New Roman"/>
                      <w:sz w:val="22"/>
                      <w:szCs w:val="22"/>
                    </w:rPr>
                  </w:pPr>
                </w:p>
              </w:tc>
              <w:tc>
                <w:tcPr>
                  <w:tcW w:w="2065" w:type="pct"/>
                </w:tcPr>
                <w:p w14:paraId="44944B8A" w14:textId="1B3BD2CF" w:rsidR="00AF662B" w:rsidRPr="009A4BD9" w:rsidRDefault="00AF662B" w:rsidP="00AF662B">
                  <w:pPr>
                    <w:jc w:val="center"/>
                    <w:rPr>
                      <w:rFonts w:asciiTheme="majorHAnsi" w:eastAsia="Times New Roman" w:hAnsiTheme="majorHAnsi" w:cs="Times New Roman"/>
                      <w:b/>
                      <w:sz w:val="22"/>
                      <w:szCs w:val="22"/>
                    </w:rPr>
                  </w:pPr>
                </w:p>
              </w:tc>
              <w:tc>
                <w:tcPr>
                  <w:tcW w:w="709" w:type="pct"/>
                </w:tcPr>
                <w:p w14:paraId="0822D49D" w14:textId="77777777" w:rsidR="00AF662B" w:rsidRPr="005F6503" w:rsidRDefault="00AF662B" w:rsidP="00AF662B">
                  <w:pPr>
                    <w:pStyle w:val="ListParagraph"/>
                    <w:ind w:left="360"/>
                    <w:rPr>
                      <w:rFonts w:ascii="Minion Pro Bold Cond Ital" w:eastAsia="MS Gothic" w:hAnsi="Minion Pro Bold Cond Ital" w:cs="Minion Pro Bold Cond Ital"/>
                      <w:color w:val="000000"/>
                      <w:sz w:val="22"/>
                      <w:szCs w:val="22"/>
                    </w:rPr>
                  </w:pPr>
                </w:p>
              </w:tc>
            </w:tr>
            <w:tr w:rsidR="00AF662B" w:rsidRPr="00A52EF9" w14:paraId="050062AD" w14:textId="77777777" w:rsidTr="005C5564">
              <w:trPr>
                <w:trHeight w:val="245"/>
              </w:trPr>
              <w:tc>
                <w:tcPr>
                  <w:tcW w:w="1618" w:type="pct"/>
                </w:tcPr>
                <w:p w14:paraId="1CDEE37B" w14:textId="77777777" w:rsidR="00AF662B" w:rsidRPr="00C43C2E" w:rsidRDefault="00AF662B" w:rsidP="00AF662B">
                  <w:pPr>
                    <w:rPr>
                      <w:rFonts w:asciiTheme="majorHAnsi" w:hAnsiTheme="majorHAnsi"/>
                    </w:rPr>
                  </w:pPr>
                  <w:r w:rsidRPr="00C43C2E">
                    <w:rPr>
                      <w:rFonts w:asciiTheme="majorHAnsi" w:hAnsiTheme="majorHAnsi"/>
                    </w:rPr>
                    <w:t>Social Behavioral Sciences</w:t>
                  </w:r>
                </w:p>
              </w:tc>
              <w:tc>
                <w:tcPr>
                  <w:tcW w:w="608" w:type="pct"/>
                </w:tcPr>
                <w:p w14:paraId="2DC9AB5E" w14:textId="77777777" w:rsidR="00AF662B" w:rsidRPr="00A52EF9" w:rsidRDefault="00AF662B" w:rsidP="00AF662B">
                  <w:pPr>
                    <w:jc w:val="right"/>
                    <w:rPr>
                      <w:rFonts w:asciiTheme="majorHAnsi" w:eastAsia="Times New Roman" w:hAnsiTheme="majorHAnsi" w:cs="Times New Roman"/>
                      <w:sz w:val="22"/>
                      <w:szCs w:val="22"/>
                    </w:rPr>
                  </w:pPr>
                </w:p>
              </w:tc>
              <w:tc>
                <w:tcPr>
                  <w:tcW w:w="2065" w:type="pct"/>
                </w:tcPr>
                <w:p w14:paraId="2CC00C24" w14:textId="77777777" w:rsidR="00AF662B" w:rsidRPr="009A4BD9" w:rsidRDefault="00AF662B" w:rsidP="00AF662B">
                  <w:pPr>
                    <w:rPr>
                      <w:rFonts w:asciiTheme="majorHAnsi" w:eastAsia="Times New Roman" w:hAnsiTheme="majorHAnsi" w:cs="Times New Roman"/>
                      <w:sz w:val="22"/>
                      <w:szCs w:val="22"/>
                    </w:rPr>
                  </w:pPr>
                </w:p>
              </w:tc>
              <w:tc>
                <w:tcPr>
                  <w:tcW w:w="709" w:type="pct"/>
                </w:tcPr>
                <w:p w14:paraId="5E9E967F" w14:textId="77777777" w:rsidR="00AF662B" w:rsidRPr="005F6503" w:rsidRDefault="00AF662B" w:rsidP="00AF662B">
                  <w:pPr>
                    <w:pStyle w:val="ListParagraph"/>
                    <w:ind w:left="360"/>
                    <w:rPr>
                      <w:rFonts w:ascii="Minion Pro Bold Cond Ital" w:eastAsia="MS Gothic" w:hAnsi="Minion Pro Bold Cond Ital" w:cs="Minion Pro Bold Cond Ital"/>
                      <w:color w:val="000000"/>
                      <w:sz w:val="22"/>
                      <w:szCs w:val="22"/>
                    </w:rPr>
                  </w:pPr>
                </w:p>
              </w:tc>
            </w:tr>
            <w:tr w:rsidR="00AF662B" w:rsidRPr="00A52EF9" w14:paraId="17C439FA" w14:textId="77777777" w:rsidTr="005C5564">
              <w:trPr>
                <w:trHeight w:val="245"/>
              </w:trPr>
              <w:tc>
                <w:tcPr>
                  <w:tcW w:w="1618" w:type="pct"/>
                </w:tcPr>
                <w:p w14:paraId="7AD646D5" w14:textId="77777777" w:rsidR="00AF662B" w:rsidRPr="00C43C2E" w:rsidRDefault="00AF662B" w:rsidP="00AF662B">
                  <w:pPr>
                    <w:rPr>
                      <w:rFonts w:asciiTheme="majorHAnsi" w:hAnsiTheme="majorHAnsi"/>
                    </w:rPr>
                  </w:pPr>
                  <w:r w:rsidRPr="00C43C2E">
                    <w:rPr>
                      <w:rFonts w:asciiTheme="majorHAnsi" w:hAnsiTheme="majorHAnsi"/>
                    </w:rPr>
                    <w:t>Connections*</w:t>
                  </w:r>
                </w:p>
              </w:tc>
              <w:tc>
                <w:tcPr>
                  <w:tcW w:w="608" w:type="pct"/>
                </w:tcPr>
                <w:p w14:paraId="09685E3B" w14:textId="77777777" w:rsidR="00AF662B" w:rsidRPr="00A52EF9" w:rsidRDefault="00AF662B" w:rsidP="00AF662B">
                  <w:pPr>
                    <w:jc w:val="right"/>
                    <w:rPr>
                      <w:rFonts w:asciiTheme="majorHAnsi" w:eastAsia="Times New Roman" w:hAnsiTheme="majorHAnsi" w:cs="Times New Roman"/>
                      <w:sz w:val="22"/>
                      <w:szCs w:val="22"/>
                    </w:rPr>
                  </w:pPr>
                </w:p>
              </w:tc>
              <w:tc>
                <w:tcPr>
                  <w:tcW w:w="2065" w:type="pct"/>
                </w:tcPr>
                <w:p w14:paraId="03F3B2DD" w14:textId="77777777" w:rsidR="00AF662B" w:rsidRPr="009A4BD9" w:rsidRDefault="00AF662B" w:rsidP="00AF662B">
                  <w:pPr>
                    <w:rPr>
                      <w:rFonts w:asciiTheme="majorHAnsi" w:eastAsia="Times New Roman" w:hAnsiTheme="majorHAnsi" w:cs="Times New Roman"/>
                      <w:sz w:val="22"/>
                      <w:szCs w:val="22"/>
                    </w:rPr>
                  </w:pPr>
                </w:p>
              </w:tc>
              <w:tc>
                <w:tcPr>
                  <w:tcW w:w="709" w:type="pct"/>
                </w:tcPr>
                <w:p w14:paraId="372168F4" w14:textId="77777777" w:rsidR="00AF662B" w:rsidRPr="005F6503" w:rsidRDefault="00AF662B" w:rsidP="00AF662B">
                  <w:pPr>
                    <w:pStyle w:val="ListParagraph"/>
                    <w:ind w:left="360"/>
                    <w:rPr>
                      <w:rFonts w:ascii="Minion Pro Bold Cond Ital" w:eastAsia="MS Gothic" w:hAnsi="Minion Pro Bold Cond Ital" w:cs="Minion Pro Bold Cond Ital"/>
                      <w:color w:val="000000"/>
                      <w:sz w:val="22"/>
                      <w:szCs w:val="22"/>
                    </w:rPr>
                  </w:pPr>
                </w:p>
              </w:tc>
            </w:tr>
          </w:tbl>
          <w:p w14:paraId="554D48A5" w14:textId="77777777" w:rsidR="00E61908" w:rsidRDefault="00E61908" w:rsidP="00EF001D">
            <w:pPr>
              <w:ind w:right="177"/>
              <w:rPr>
                <w:rFonts w:asciiTheme="majorHAnsi" w:hAnsiTheme="majorHAnsi"/>
              </w:rPr>
            </w:pPr>
          </w:p>
          <w:p w14:paraId="52046A7A" w14:textId="7A6D16D6" w:rsidR="0044531D" w:rsidRPr="008C517B" w:rsidRDefault="0044531D" w:rsidP="00EF001D">
            <w:pPr>
              <w:ind w:right="177"/>
              <w:rPr>
                <w:rFonts w:asciiTheme="majorHAnsi" w:hAnsiTheme="majorHAnsi"/>
              </w:rPr>
            </w:pPr>
            <w:r w:rsidRPr="008C517B">
              <w:rPr>
                <w:rFonts w:asciiTheme="majorHAnsi" w:hAnsiTheme="majorHAnsi"/>
              </w:rPr>
              <w:t>This map is a semester-by-semester plan to help you toward graduation</w:t>
            </w:r>
            <w:r w:rsidR="00C77369">
              <w:rPr>
                <w:rFonts w:asciiTheme="majorHAnsi" w:hAnsiTheme="majorHAnsi"/>
              </w:rPr>
              <w:t>.</w:t>
            </w:r>
            <w:r w:rsidRPr="008C517B">
              <w:rPr>
                <w:rFonts w:asciiTheme="majorHAnsi" w:hAnsiTheme="majorHAnsi"/>
              </w:rPr>
              <w:t xml:space="preserve"> </w:t>
            </w:r>
            <w:r w:rsidR="00853128">
              <w:rPr>
                <w:rFonts w:asciiTheme="majorHAnsi" w:hAnsiTheme="majorHAnsi"/>
              </w:rPr>
              <w:t>This map is not your only route;</w:t>
            </w:r>
            <w:r w:rsidRPr="008C517B">
              <w:rPr>
                <w:rFonts w:asciiTheme="majorHAnsi" w:hAnsiTheme="majorHAnsi"/>
              </w:rPr>
              <w:t xml:space="preserve"> it is a suggestion. </w:t>
            </w:r>
            <w:r w:rsidR="004E0956" w:rsidRPr="004E0956">
              <w:rPr>
                <w:rFonts w:asciiTheme="majorHAnsi" w:hAnsiTheme="majorHAnsi"/>
              </w:rPr>
              <w:t xml:space="preserve">You might take additional courses over the summer, or early </w:t>
            </w:r>
            <w:r w:rsidR="004E0956" w:rsidRPr="008D3C34">
              <w:rPr>
                <w:rFonts w:asciiTheme="majorHAnsi" w:hAnsiTheme="majorHAnsi"/>
              </w:rPr>
              <w:t>spring</w:t>
            </w:r>
            <w:r w:rsidR="00BF02D5">
              <w:rPr>
                <w:rFonts w:asciiTheme="majorHAnsi" w:hAnsiTheme="majorHAnsi"/>
              </w:rPr>
              <w:t>/winter</w:t>
            </w:r>
            <w:r w:rsidR="008D3C34" w:rsidRPr="008D3C34">
              <w:rPr>
                <w:rFonts w:asciiTheme="majorHAnsi" w:hAnsiTheme="majorHAnsi"/>
              </w:rPr>
              <w:t xml:space="preserve"> to catch up or get ahead if the courses you need are offered at these times</w:t>
            </w:r>
            <w:r w:rsidR="004E0956" w:rsidRPr="008D3C34">
              <w:rPr>
                <w:rFonts w:asciiTheme="majorHAnsi" w:hAnsiTheme="majorHAnsi"/>
              </w:rPr>
              <w:t>.</w:t>
            </w:r>
            <w:r w:rsidR="004E0956">
              <w:rPr>
                <w:rFonts w:asciiTheme="majorHAnsi" w:hAnsiTheme="majorHAnsi"/>
                <w:sz w:val="22"/>
                <w:szCs w:val="22"/>
              </w:rPr>
              <w:t xml:space="preserve"> </w:t>
            </w:r>
            <w:r w:rsidRPr="008C517B">
              <w:rPr>
                <w:rFonts w:asciiTheme="majorHAnsi" w:hAnsiTheme="majorHAnsi"/>
              </w:rPr>
              <w:t xml:space="preserve">While many courses in your major will have prerequisites that will need you to take them in a special order, there is some flexibility in this map, but always double check you have the right prerequisites for a course you plan to take. </w:t>
            </w:r>
          </w:p>
          <w:p w14:paraId="3F080BF3" w14:textId="5C88EF6D" w:rsidR="0044531D" w:rsidRPr="00BF02D5" w:rsidRDefault="00214019" w:rsidP="00EF001D">
            <w:pPr>
              <w:ind w:right="87"/>
              <w:rPr>
                <w:rFonts w:asciiTheme="majorHAnsi" w:hAnsiTheme="majorHAnsi"/>
                <w:sz w:val="22"/>
                <w:szCs w:val="22"/>
              </w:rPr>
            </w:pPr>
            <w:r>
              <w:rPr>
                <w:rFonts w:asciiTheme="majorHAnsi" w:hAnsiTheme="majorHAnsi"/>
              </w:rPr>
              <w:t xml:space="preserve">          </w:t>
            </w:r>
            <w:r w:rsidR="0044531D" w:rsidRPr="008C517B">
              <w:rPr>
                <w:rFonts w:asciiTheme="majorHAnsi" w:hAnsiTheme="majorHAnsi"/>
              </w:rPr>
              <w:t xml:space="preserve">The column </w:t>
            </w:r>
            <w:r w:rsidR="00853128">
              <w:rPr>
                <w:rFonts w:asciiTheme="majorHAnsi" w:hAnsiTheme="majorHAnsi"/>
              </w:rPr>
              <w:t>to</w:t>
            </w:r>
            <w:r w:rsidR="0090268B">
              <w:rPr>
                <w:rFonts w:asciiTheme="majorHAnsi" w:hAnsiTheme="majorHAnsi"/>
              </w:rPr>
              <w:t xml:space="preserve"> the left</w:t>
            </w:r>
            <w:r w:rsidR="0044531D" w:rsidRPr="008C517B">
              <w:rPr>
                <w:rFonts w:asciiTheme="majorHAnsi" w:hAnsiTheme="majorHAnsi"/>
              </w:rPr>
              <w:t xml:space="preserve"> on the </w:t>
            </w:r>
            <w:r w:rsidR="00853128">
              <w:rPr>
                <w:rFonts w:asciiTheme="majorHAnsi" w:hAnsiTheme="majorHAnsi"/>
              </w:rPr>
              <w:t>other side</w:t>
            </w:r>
            <w:r w:rsidR="0044531D" w:rsidRPr="008C517B">
              <w:rPr>
                <w:rFonts w:asciiTheme="majorHAnsi" w:hAnsiTheme="majorHAnsi"/>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321AD9">
              <w:rPr>
                <w:rFonts w:asciiTheme="majorHAnsi" w:hAnsiTheme="majorHAnsi"/>
              </w:rPr>
              <w:t>right</w:t>
            </w:r>
            <w:r w:rsidR="0044531D" w:rsidRPr="008C517B">
              <w:rPr>
                <w:rFonts w:asciiTheme="majorHAnsi" w:hAnsiTheme="majorHAnsi"/>
              </w:rPr>
              <w:t xml:space="preserve"> has "Checkpoints" for each semester that show where you should be by the end of that semester. You should work from this map as you plan each semester's schedule, before checking in with your advisor</w:t>
            </w:r>
            <w:r w:rsidR="00E26CC7">
              <w:rPr>
                <w:rFonts w:asciiTheme="majorHAnsi" w:hAnsiTheme="majorHAnsi"/>
              </w:rPr>
              <w:t xml:space="preserve">. You should plan to </w:t>
            </w:r>
            <w:r w:rsidR="0090268B">
              <w:rPr>
                <w:rFonts w:asciiTheme="majorHAnsi" w:hAnsiTheme="majorHAnsi"/>
              </w:rPr>
              <w:t>see your advisor</w:t>
            </w:r>
            <w:r w:rsidR="00E26CC7">
              <w:rPr>
                <w:rFonts w:asciiTheme="majorHAnsi" w:hAnsiTheme="majorHAnsi"/>
              </w:rPr>
              <w:t xml:space="preserve"> in September for the Spring Semester and in February for the Fall</w:t>
            </w:r>
            <w:r w:rsidR="0044531D" w:rsidRPr="008C517B">
              <w:rPr>
                <w:rFonts w:asciiTheme="majorHAnsi" w:hAnsiTheme="majorHAnsi"/>
              </w:rPr>
              <w:t xml:space="preserve">.  </w:t>
            </w:r>
            <w:r w:rsidR="000E26C9">
              <w:rPr>
                <w:rFonts w:asciiTheme="majorHAnsi" w:hAnsiTheme="majorHAnsi"/>
              </w:rPr>
              <w:t>T</w:t>
            </w:r>
            <w:r w:rsidR="0044531D" w:rsidRPr="008C517B">
              <w:rPr>
                <w:rFonts w:asciiTheme="majorHAnsi" w:hAnsiTheme="majorHAnsi"/>
              </w:rPr>
              <w:t>ransfer students may also use the Rhode</w:t>
            </w:r>
            <w:r w:rsidR="00AF662B">
              <w:rPr>
                <w:rFonts w:asciiTheme="majorHAnsi" w:hAnsiTheme="majorHAnsi"/>
              </w:rPr>
              <w:t xml:space="preserve"> </w:t>
            </w:r>
            <w:r w:rsidR="0044531D" w:rsidRPr="008C517B">
              <w:rPr>
                <w:rFonts w:asciiTheme="majorHAnsi" w:hAnsiTheme="majorHAnsi"/>
              </w:rPr>
              <w:t>Map with the understanding that they have most likely completed several requirements through transfer of credit</w:t>
            </w:r>
            <w:r w:rsidR="0090268B">
              <w:rPr>
                <w:rFonts w:asciiTheme="majorHAnsi" w:hAnsiTheme="majorHAnsi"/>
              </w:rPr>
              <w:t>,</w:t>
            </w:r>
            <w:r w:rsidR="0044531D" w:rsidRPr="008C517B">
              <w:rPr>
                <w:rFonts w:asciiTheme="majorHAnsi" w:hAnsiTheme="majorHAnsi"/>
              </w:rPr>
              <w:t xml:space="preserve"> and will be starting further into the program.</w:t>
            </w:r>
            <w:r w:rsidR="00BF02D5">
              <w:rPr>
                <w:rFonts w:asciiTheme="majorHAnsi" w:hAnsiTheme="majorHAnsi"/>
              </w:rPr>
              <w:t xml:space="preserve"> </w:t>
            </w:r>
          </w:p>
          <w:p w14:paraId="40BC2875" w14:textId="77777777" w:rsidR="00172B07" w:rsidRPr="00EF001D" w:rsidRDefault="00172B07" w:rsidP="00EF001D">
            <w:pPr>
              <w:ind w:right="87"/>
              <w:rPr>
                <w:rFonts w:asciiTheme="majorHAnsi" w:hAnsiTheme="majorHAnsi"/>
              </w:rPr>
            </w:pPr>
          </w:p>
          <w:p w14:paraId="6EAF295B" w14:textId="77777777" w:rsidR="0044531D" w:rsidRPr="00E61908" w:rsidRDefault="0044531D" w:rsidP="0044531D">
            <w:pPr>
              <w:rPr>
                <w:rFonts w:asciiTheme="majorHAnsi" w:hAnsiTheme="majorHAnsi"/>
              </w:rPr>
            </w:pPr>
            <w:r w:rsidRPr="00E61908">
              <w:rPr>
                <w:rFonts w:asciiTheme="majorHAnsi" w:hAnsiTheme="majorHAnsi"/>
                <w:b/>
                <w:bCs/>
              </w:rPr>
              <w:t>GRADUATION REQUIREMENTS:</w:t>
            </w:r>
            <w:r w:rsidRPr="00E61908">
              <w:rPr>
                <w:rFonts w:asciiTheme="majorHAnsi" w:hAnsiTheme="majorHAnsi"/>
              </w:rPr>
              <w:t xml:space="preserve">  The following requirements must be completed by undergraduate degree candidates at Rhode Island College in order to graduate:</w:t>
            </w:r>
          </w:p>
          <w:p w14:paraId="69E94BD7" w14:textId="48C5E4FC" w:rsidR="0044531D" w:rsidRPr="00E61908" w:rsidRDefault="00AE5C3D" w:rsidP="0044531D">
            <w:pPr>
              <w:pStyle w:val="ListParagraph"/>
              <w:numPr>
                <w:ilvl w:val="0"/>
                <w:numId w:val="8"/>
              </w:numPr>
              <w:rPr>
                <w:rFonts w:asciiTheme="majorHAnsi" w:hAnsiTheme="majorHAnsi"/>
              </w:rPr>
            </w:pPr>
            <w:r w:rsidRPr="00E61908">
              <w:rPr>
                <w:rFonts w:asciiTheme="majorHAnsi" w:hAnsiTheme="majorHAnsi"/>
              </w:rPr>
              <w:t>A minimum of 30</w:t>
            </w:r>
            <w:r w:rsidR="0044531D" w:rsidRPr="00E61908">
              <w:rPr>
                <w:rFonts w:asciiTheme="majorHAnsi" w:hAnsiTheme="majorHAnsi"/>
              </w:rPr>
              <w:t xml:space="preserve"> credit hours</w:t>
            </w:r>
            <w:r w:rsidRPr="00E61908">
              <w:rPr>
                <w:rFonts w:asciiTheme="majorHAnsi" w:hAnsiTheme="majorHAnsi"/>
              </w:rPr>
              <w:t xml:space="preserve"> – 22 credits in the nursing major and 8 elective credits</w:t>
            </w:r>
          </w:p>
          <w:p w14:paraId="360F6819" w14:textId="4EF26224" w:rsidR="0044531D" w:rsidRPr="00E61908" w:rsidRDefault="0044531D" w:rsidP="0044531D">
            <w:pPr>
              <w:pStyle w:val="ListParagraph"/>
              <w:numPr>
                <w:ilvl w:val="0"/>
                <w:numId w:val="8"/>
              </w:numPr>
              <w:rPr>
                <w:rFonts w:asciiTheme="majorHAnsi" w:hAnsiTheme="majorHAnsi"/>
              </w:rPr>
            </w:pPr>
            <w:r w:rsidRPr="00E61908">
              <w:rPr>
                <w:rFonts w:asciiTheme="majorHAnsi" w:hAnsiTheme="majorHAnsi"/>
              </w:rPr>
              <w:t>A minimum ov</w:t>
            </w:r>
            <w:r w:rsidR="00E61908" w:rsidRPr="00E61908">
              <w:rPr>
                <w:rFonts w:asciiTheme="majorHAnsi" w:hAnsiTheme="majorHAnsi"/>
              </w:rPr>
              <w:t>erall grade point average of 2.50</w:t>
            </w:r>
          </w:p>
          <w:p w14:paraId="50299519" w14:textId="77777777" w:rsidR="0044531D" w:rsidRPr="00E61908" w:rsidRDefault="0044531D" w:rsidP="0044531D">
            <w:pPr>
              <w:rPr>
                <w:rFonts w:asciiTheme="majorHAnsi" w:hAnsiTheme="majorHAnsi"/>
              </w:rPr>
            </w:pPr>
          </w:p>
          <w:p w14:paraId="0F421B38" w14:textId="77777777" w:rsidR="00917052" w:rsidRPr="00B2639E" w:rsidRDefault="00917052" w:rsidP="00917052">
            <w:pPr>
              <w:rPr>
                <w:rFonts w:asciiTheme="majorHAnsi" w:hAnsiTheme="majorHAnsi"/>
                <w:sz w:val="22"/>
                <w:szCs w:val="22"/>
              </w:rPr>
            </w:pPr>
            <w:r w:rsidRPr="00B2639E">
              <w:rPr>
                <w:rFonts w:asciiTheme="majorHAnsi" w:hAnsiTheme="majorHAnsi"/>
                <w:sz w:val="22"/>
                <w:szCs w:val="22"/>
              </w:rPr>
              <w:t xml:space="preserve">Approved by Department Chair: </w:t>
            </w:r>
            <w:r>
              <w:rPr>
                <w:rFonts w:asciiTheme="majorHAnsi" w:hAnsiTheme="majorHAnsi"/>
                <w:sz w:val="22"/>
                <w:szCs w:val="22"/>
              </w:rPr>
              <w:t xml:space="preserve">Claire Creamer </w:t>
            </w:r>
            <w:r w:rsidRPr="00B2639E">
              <w:rPr>
                <w:rFonts w:asciiTheme="majorHAnsi" w:hAnsiTheme="majorHAnsi"/>
                <w:sz w:val="22"/>
                <w:szCs w:val="22"/>
              </w:rPr>
              <w:t xml:space="preserve">Date </w:t>
            </w:r>
            <w:r>
              <w:rPr>
                <w:rFonts w:asciiTheme="majorHAnsi" w:hAnsiTheme="majorHAnsi"/>
                <w:sz w:val="22"/>
                <w:szCs w:val="22"/>
              </w:rPr>
              <w:t>6/22/2020</w:t>
            </w:r>
          </w:p>
          <w:p w14:paraId="02E65F23" w14:textId="761AF2CE" w:rsidR="0044531D" w:rsidRPr="00B75FA4" w:rsidRDefault="00917052" w:rsidP="00917052">
            <w:pPr>
              <w:rPr>
                <w:rFonts w:asciiTheme="majorHAnsi" w:eastAsia="Times New Roman" w:hAnsiTheme="majorHAnsi" w:cs="Times New Roman"/>
                <w:color w:val="000000"/>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bookmarkStart w:id="0" w:name="_GoBack"/>
            <w:bookmarkEnd w:id="0"/>
          </w:p>
        </w:tc>
      </w:tr>
      <w:tr w:rsidR="0044531D" w:rsidRPr="00B75FA4" w14:paraId="343C5327" w14:textId="77777777" w:rsidTr="00AF662B">
        <w:trPr>
          <w:trHeight w:val="284"/>
        </w:trPr>
        <w:tc>
          <w:tcPr>
            <w:tcW w:w="1090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AF662B">
        <w:trPr>
          <w:trHeight w:val="284"/>
        </w:trPr>
        <w:tc>
          <w:tcPr>
            <w:tcW w:w="1090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AF662B">
        <w:trPr>
          <w:trHeight w:val="284"/>
        </w:trPr>
        <w:tc>
          <w:tcPr>
            <w:tcW w:w="1090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AF662B">
        <w:trPr>
          <w:trHeight w:val="284"/>
        </w:trPr>
        <w:tc>
          <w:tcPr>
            <w:tcW w:w="1090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3FA0C6D8" w14:textId="77777777" w:rsidR="00C14BC7" w:rsidRDefault="00C14BC7" w:rsidP="00041C05">
      <w:pPr>
        <w:spacing w:before="71"/>
        <w:rPr>
          <w:rFonts w:ascii="Calibri" w:eastAsia="Calibri" w:hAnsi="Calibri" w:cs="Calibri"/>
          <w:sz w:val="22"/>
          <w:szCs w:val="22"/>
        </w:rPr>
      </w:pPr>
    </w:p>
    <w:p w14:paraId="10E8BE55" w14:textId="2E34FC61" w:rsidR="00E61908" w:rsidRDefault="00E61908" w:rsidP="00041C05">
      <w:pPr>
        <w:spacing w:before="71"/>
        <w:rPr>
          <w:rFonts w:ascii="Calibri" w:eastAsia="Calibri" w:hAnsi="Calibri" w:cs="Calibri"/>
          <w:sz w:val="22"/>
          <w:szCs w:val="22"/>
        </w:rPr>
      </w:pPr>
    </w:p>
    <w:p w14:paraId="41C2ED47" w14:textId="77777777" w:rsidR="00AF662B" w:rsidRDefault="00AF662B" w:rsidP="00041C05">
      <w:pPr>
        <w:spacing w:before="71"/>
        <w:rPr>
          <w:rFonts w:ascii="Calibri" w:eastAsia="Calibri" w:hAnsi="Calibri" w:cs="Calibri"/>
          <w:sz w:val="22"/>
          <w:szCs w:val="22"/>
        </w:rPr>
      </w:pPr>
    </w:p>
    <w:p w14:paraId="4BDA74EE" w14:textId="77777777" w:rsidR="00E61908" w:rsidRPr="00A52EF9" w:rsidRDefault="00E61908"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E61908" w:rsidRPr="00A52EF9" w14:paraId="28D5DFF3" w14:textId="77777777" w:rsidTr="00E61908">
        <w:trPr>
          <w:trHeight w:val="269"/>
        </w:trPr>
        <w:tc>
          <w:tcPr>
            <w:tcW w:w="4500" w:type="dxa"/>
          </w:tcPr>
          <w:p w14:paraId="08B288DB" w14:textId="77777777" w:rsidR="00E61908" w:rsidRPr="00A52EF9" w:rsidRDefault="00E61908" w:rsidP="00E61908">
            <w:pPr>
              <w:pStyle w:val="TableParagraph"/>
              <w:rPr>
                <w:rFonts w:asciiTheme="majorHAnsi" w:eastAsia="Times New Roman" w:hAnsiTheme="majorHAnsi" w:cs="Times New Roman"/>
              </w:rPr>
            </w:pPr>
            <w:r>
              <w:rPr>
                <w:rFonts w:asciiTheme="majorHAnsi" w:eastAsia="Times New Roman" w:hAnsiTheme="majorHAnsi" w:cs="Times New Roman"/>
              </w:rPr>
              <w:t xml:space="preserve">NURS 207 </w:t>
            </w:r>
            <w:r w:rsidRPr="00C43C2E">
              <w:rPr>
                <w:rFonts w:asciiTheme="majorHAnsi" w:eastAsia="MS Gothic" w:hAnsiTheme="majorHAnsi" w:cs="Minion Pro Bold Cond Ital"/>
                <w:color w:val="000000"/>
              </w:rPr>
              <w:t>Baccalaureate Education for Nursing*</w:t>
            </w:r>
          </w:p>
        </w:tc>
        <w:tc>
          <w:tcPr>
            <w:tcW w:w="810" w:type="dxa"/>
          </w:tcPr>
          <w:p w14:paraId="4438F713" w14:textId="77777777" w:rsidR="00E61908" w:rsidRPr="008C517B" w:rsidRDefault="00E61908" w:rsidP="00E6190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86B729C" w14:textId="77777777" w:rsidR="00E61908" w:rsidRPr="00D7242E" w:rsidRDefault="00E61908" w:rsidP="00E61908">
            <w:pPr>
              <w:pStyle w:val="ListParagraph"/>
              <w:ind w:left="360"/>
              <w:rPr>
                <w:rFonts w:asciiTheme="majorHAnsi" w:eastAsia="Times New Roman" w:hAnsiTheme="majorHAnsi" w:cs="Times New Roman"/>
                <w:sz w:val="22"/>
                <w:szCs w:val="22"/>
              </w:rPr>
            </w:pPr>
          </w:p>
        </w:tc>
        <w:tc>
          <w:tcPr>
            <w:tcW w:w="5580" w:type="dxa"/>
          </w:tcPr>
          <w:p w14:paraId="2D18BB4A" w14:textId="77777777" w:rsidR="00E61908" w:rsidRPr="00C80853" w:rsidRDefault="00E61908" w:rsidP="00E61908">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is RN licensure, RN to BSN intended, or by consent of program director; minimum grade of C</w:t>
            </w:r>
          </w:p>
        </w:tc>
      </w:tr>
      <w:tr w:rsidR="00E61908" w:rsidRPr="00A52EF9" w14:paraId="3DC7522E" w14:textId="77777777" w:rsidTr="00E61908">
        <w:trPr>
          <w:trHeight w:val="196"/>
        </w:trPr>
        <w:tc>
          <w:tcPr>
            <w:tcW w:w="4500" w:type="dxa"/>
          </w:tcPr>
          <w:p w14:paraId="1234A55B" w14:textId="47D1E0ED" w:rsidR="00E61908" w:rsidRPr="00A52EF9" w:rsidRDefault="00E61908" w:rsidP="00E61908">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NURS 225 </w:t>
            </w:r>
            <w:r w:rsidRPr="00C43C2E">
              <w:rPr>
                <w:rFonts w:asciiTheme="majorHAnsi" w:eastAsia="MS Gothic" w:hAnsiTheme="majorHAnsi" w:cs="Minion Pro Bold Cond Ital"/>
                <w:color w:val="000000"/>
                <w:w w:val="95"/>
                <w:sz w:val="22"/>
                <w:szCs w:val="22"/>
              </w:rPr>
              <w:t>Introduction to Writing and Research in Nursing*</w:t>
            </w:r>
            <w:r w:rsidR="00F52CAC">
              <w:rPr>
                <w:rFonts w:asciiTheme="majorHAnsi" w:eastAsia="MS Gothic" w:hAnsiTheme="majorHAnsi" w:cs="Minion Pro Bold Cond Ital"/>
                <w:color w:val="000000"/>
                <w:w w:val="95"/>
                <w:sz w:val="22"/>
                <w:szCs w:val="22"/>
              </w:rPr>
              <w:t xml:space="preserve"> (WID)</w:t>
            </w:r>
          </w:p>
        </w:tc>
        <w:tc>
          <w:tcPr>
            <w:tcW w:w="810" w:type="dxa"/>
          </w:tcPr>
          <w:p w14:paraId="08B8412B" w14:textId="77777777" w:rsidR="00E61908" w:rsidRPr="008C517B" w:rsidRDefault="00E61908" w:rsidP="00E6190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FA8CF70" w14:textId="77777777" w:rsidR="00E61908" w:rsidRPr="00A52EF9" w:rsidRDefault="00E61908" w:rsidP="00E61908">
            <w:pPr>
              <w:rPr>
                <w:rFonts w:asciiTheme="majorHAnsi" w:eastAsia="Times New Roman" w:hAnsiTheme="majorHAnsi" w:cs="Times New Roman"/>
                <w:sz w:val="22"/>
                <w:szCs w:val="22"/>
              </w:rPr>
            </w:pPr>
          </w:p>
        </w:tc>
        <w:tc>
          <w:tcPr>
            <w:tcW w:w="5580" w:type="dxa"/>
          </w:tcPr>
          <w:p w14:paraId="2A2AB3BC" w14:textId="77777777" w:rsidR="00E61908" w:rsidRDefault="00E61908" w:rsidP="00E61908">
            <w:pPr>
              <w:pStyle w:val="ListParagraph"/>
              <w:numPr>
                <w:ilvl w:val="0"/>
                <w:numId w:val="29"/>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M</w:t>
            </w:r>
            <w:r w:rsidRPr="00C43C2E">
              <w:rPr>
                <w:rFonts w:asciiTheme="majorHAnsi" w:eastAsia="Times New Roman" w:hAnsiTheme="majorHAnsi" w:cs="Times New Roman"/>
                <w:sz w:val="22"/>
                <w:szCs w:val="22"/>
              </w:rPr>
              <w:t>inimum grade of C</w:t>
            </w:r>
          </w:p>
          <w:p w14:paraId="433E080A" w14:textId="77777777" w:rsidR="00E61908" w:rsidRPr="00C43C2E" w:rsidRDefault="00E61908" w:rsidP="00E61908">
            <w:pPr>
              <w:pStyle w:val="ListParagraph"/>
              <w:numPr>
                <w:ilvl w:val="0"/>
                <w:numId w:val="29"/>
              </w:numPr>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Prereq. is acceptance to the nursing program</w:t>
            </w:r>
          </w:p>
        </w:tc>
      </w:tr>
      <w:tr w:rsidR="00B95046" w:rsidRPr="00A52EF9" w14:paraId="474E97C8" w14:textId="77777777" w:rsidTr="00131758">
        <w:trPr>
          <w:trHeight w:val="196"/>
        </w:trPr>
        <w:tc>
          <w:tcPr>
            <w:tcW w:w="4500" w:type="dxa"/>
          </w:tcPr>
          <w:p w14:paraId="0565058A" w14:textId="689F3A31" w:rsidR="00B95046" w:rsidRDefault="00B95046" w:rsidP="00C41C95">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r w:rsidR="00AE5C3D">
              <w:rPr>
                <w:rFonts w:asciiTheme="majorHAnsi" w:eastAsia="Times New Roman" w:hAnsiTheme="majorHAnsi" w:cs="Times New Roman"/>
                <w:sz w:val="22"/>
                <w:szCs w:val="22"/>
              </w:rPr>
              <w:t>(s)</w:t>
            </w:r>
          </w:p>
        </w:tc>
        <w:tc>
          <w:tcPr>
            <w:tcW w:w="810" w:type="dxa"/>
          </w:tcPr>
          <w:p w14:paraId="0F92208E" w14:textId="340F5300" w:rsidR="00B95046" w:rsidRDefault="00B9504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r w:rsidR="003868FA">
              <w:rPr>
                <w:rFonts w:asciiTheme="majorHAnsi" w:eastAsia="Times New Roman" w:hAnsiTheme="majorHAnsi" w:cs="Times New Roman"/>
                <w:color w:val="800000"/>
                <w:sz w:val="22"/>
                <w:szCs w:val="22"/>
              </w:rPr>
              <w:t xml:space="preserve"> </w:t>
            </w:r>
          </w:p>
        </w:tc>
        <w:tc>
          <w:tcPr>
            <w:tcW w:w="270" w:type="dxa"/>
            <w:shd w:val="clear" w:color="auto" w:fill="D9D9D9" w:themeFill="background1" w:themeFillShade="D9"/>
          </w:tcPr>
          <w:p w14:paraId="73F79B82" w14:textId="77777777" w:rsidR="00B95046" w:rsidRPr="00A52EF9" w:rsidRDefault="00B95046" w:rsidP="00041C05">
            <w:pPr>
              <w:rPr>
                <w:rFonts w:asciiTheme="majorHAnsi" w:eastAsia="Times New Roman" w:hAnsiTheme="majorHAnsi" w:cs="Times New Roman"/>
                <w:sz w:val="22"/>
                <w:szCs w:val="22"/>
              </w:rPr>
            </w:pPr>
          </w:p>
        </w:tc>
        <w:tc>
          <w:tcPr>
            <w:tcW w:w="5580" w:type="dxa"/>
          </w:tcPr>
          <w:p w14:paraId="7D15C5B4" w14:textId="77777777" w:rsidR="00B95046" w:rsidRPr="00A52EF9" w:rsidRDefault="00B95046" w:rsidP="00041C05">
            <w:pPr>
              <w:rPr>
                <w:rFonts w:asciiTheme="majorHAnsi" w:eastAsia="Times New Roman" w:hAnsiTheme="majorHAnsi" w:cs="Times New Roman"/>
                <w:sz w:val="22"/>
                <w:szCs w:val="22"/>
              </w:rPr>
            </w:pPr>
          </w:p>
        </w:tc>
      </w:tr>
      <w:tr w:rsidR="00C170F9" w:rsidRPr="00A52EF9" w14:paraId="2B943E91" w14:textId="77777777" w:rsidTr="0013175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22A893CB" w14:textId="77777777" w:rsidR="00E61908" w:rsidRDefault="00E61908" w:rsidP="00F254E3">
            <w:pPr>
              <w:rPr>
                <w:rFonts w:asciiTheme="majorHAnsi" w:eastAsia="Times New Roman" w:hAnsiTheme="majorHAnsi" w:cs="Times New Roman"/>
                <w:sz w:val="22"/>
                <w:szCs w:val="22"/>
              </w:rPr>
            </w:pPr>
          </w:p>
          <w:p w14:paraId="383A877F" w14:textId="77777777" w:rsidR="00E61908" w:rsidRDefault="00E61908" w:rsidP="00F254E3">
            <w:pPr>
              <w:rPr>
                <w:rFonts w:asciiTheme="majorHAnsi" w:eastAsia="Times New Roman" w:hAnsiTheme="majorHAnsi" w:cs="Times New Roman"/>
                <w:sz w:val="22"/>
                <w:szCs w:val="22"/>
              </w:rPr>
            </w:pPr>
          </w:p>
          <w:p w14:paraId="386CE82E" w14:textId="77777777" w:rsidR="00E61908" w:rsidRDefault="00E61908" w:rsidP="00F254E3">
            <w:pPr>
              <w:rPr>
                <w:rFonts w:asciiTheme="majorHAnsi" w:eastAsia="Times New Roman" w:hAnsiTheme="majorHAnsi" w:cs="Times New Roman"/>
                <w:sz w:val="22"/>
                <w:szCs w:val="22"/>
              </w:rPr>
            </w:pPr>
          </w:p>
          <w:p w14:paraId="45140CC5" w14:textId="77777777" w:rsidR="00E61908" w:rsidRDefault="00E61908" w:rsidP="00F254E3">
            <w:pPr>
              <w:rPr>
                <w:rFonts w:asciiTheme="majorHAnsi" w:eastAsia="Times New Roman" w:hAnsiTheme="majorHAnsi" w:cs="Times New Roman"/>
                <w:sz w:val="22"/>
                <w:szCs w:val="22"/>
              </w:rPr>
            </w:pPr>
          </w:p>
          <w:p w14:paraId="2D3AB629" w14:textId="77777777" w:rsidR="00E61908" w:rsidRDefault="00E61908" w:rsidP="00F254E3">
            <w:pPr>
              <w:rPr>
                <w:rFonts w:asciiTheme="majorHAnsi" w:eastAsia="Times New Roman" w:hAnsiTheme="majorHAnsi" w:cs="Times New Roman"/>
                <w:sz w:val="22"/>
                <w:szCs w:val="22"/>
              </w:rPr>
            </w:pPr>
          </w:p>
          <w:p w14:paraId="3BC84F4C" w14:textId="08AEDDD9" w:rsidR="00566B20" w:rsidRPr="00A52EF9" w:rsidRDefault="00566B20" w:rsidP="00E61908">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74238C5C" w:rsidR="00C170F9"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00AE5C3D">
              <w:rPr>
                <w:rFonts w:asciiTheme="majorHAnsi" w:eastAsia="Times New Roman" w:hAnsiTheme="majorHAnsi" w:cs="Times New Roman"/>
                <w:sz w:val="22"/>
                <w:szCs w:val="22"/>
              </w:rPr>
              <w:t xml:space="preserve"> 10</w:t>
            </w:r>
            <w:r w:rsidRPr="00D7242E">
              <w:rPr>
                <w:rFonts w:asciiTheme="majorHAnsi" w:eastAsia="Times New Roman" w:hAnsiTheme="majorHAnsi" w:cs="Times New Roman"/>
                <w:sz w:val="22"/>
                <w:szCs w:val="22"/>
              </w:rPr>
              <w:t xml:space="preserve"> earned credits </w:t>
            </w:r>
          </w:p>
          <w:p w14:paraId="599032CA" w14:textId="68A4852E" w:rsidR="00C170F9" w:rsidRPr="00AE5C3D" w:rsidRDefault="00E61908" w:rsidP="00D7242E">
            <w:pPr>
              <w:pStyle w:val="ListParagraph"/>
              <w:numPr>
                <w:ilvl w:val="0"/>
                <w:numId w:val="17"/>
              </w:numPr>
            </w:pPr>
            <w:r>
              <w:rPr>
                <w:rFonts w:asciiTheme="majorHAnsi" w:eastAsia="Times New Roman" w:hAnsiTheme="majorHAnsi" w:cs="Times New Roman"/>
                <w:sz w:val="22"/>
                <w:szCs w:val="22"/>
              </w:rPr>
              <w:t>Minimum 2.5</w:t>
            </w:r>
            <w:r w:rsidR="00C170F9" w:rsidRPr="00B83842">
              <w:rPr>
                <w:rFonts w:asciiTheme="majorHAnsi" w:eastAsia="Times New Roman" w:hAnsiTheme="majorHAnsi" w:cs="Times New Roman"/>
                <w:sz w:val="22"/>
                <w:szCs w:val="22"/>
              </w:rPr>
              <w:t xml:space="preserve"> GPA</w:t>
            </w:r>
          </w:p>
          <w:p w14:paraId="647D0777" w14:textId="0ABFB152" w:rsidR="00AE5C3D" w:rsidRPr="00B83842" w:rsidRDefault="00AE5C3D" w:rsidP="00D7242E">
            <w:pPr>
              <w:pStyle w:val="ListParagraph"/>
              <w:numPr>
                <w:ilvl w:val="0"/>
                <w:numId w:val="17"/>
              </w:numPr>
            </w:pPr>
            <w:r>
              <w:rPr>
                <w:rFonts w:asciiTheme="majorHAnsi" w:eastAsia="Times New Roman" w:hAnsiTheme="majorHAnsi" w:cs="Times New Roman"/>
                <w:sz w:val="22"/>
                <w:szCs w:val="22"/>
              </w:rPr>
              <w:t>RN-BSN Students enrolled in the Second Baccalaureate Degree generally take a total of 30 credits.  22 credits are nursing and 8 are elective credits.  A plan of study is developed with the student and Director of Baccalaureate program.</w:t>
            </w:r>
          </w:p>
        </w:tc>
      </w:tr>
      <w:tr w:rsidR="00C170F9" w:rsidRPr="00A52EF9" w14:paraId="60AA4F67" w14:textId="77777777" w:rsidTr="00E61908">
        <w:trPr>
          <w:trHeight w:val="5642"/>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0C3F3D1" w:rsidR="00C170F9" w:rsidRPr="008C517B" w:rsidRDefault="003868F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10</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C955565" w14:textId="77777777" w:rsidR="00E61908" w:rsidRPr="007B70A4" w:rsidRDefault="00E61908" w:rsidP="00E61908">
            <w:pPr>
              <w:pStyle w:val="ListParagraph"/>
              <w:numPr>
                <w:ilvl w:val="0"/>
                <w:numId w:val="18"/>
              </w:numPr>
              <w:ind w:left="522" w:hanging="288"/>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Submit Second Enrollment application by November 15</w:t>
            </w:r>
            <w:r w:rsidRPr="007B70A4">
              <w:rPr>
                <w:rFonts w:asciiTheme="majorHAnsi" w:eastAsia="Times New Roman" w:hAnsiTheme="majorHAnsi" w:cs="Times New Roman"/>
                <w:sz w:val="22"/>
                <w:szCs w:val="22"/>
                <w:vertAlign w:val="superscript"/>
              </w:rPr>
              <w:t>th</w:t>
            </w:r>
            <w:r>
              <w:rPr>
                <w:rFonts w:asciiTheme="majorHAnsi" w:eastAsia="Times New Roman" w:hAnsiTheme="majorHAnsi" w:cs="Times New Roman"/>
                <w:sz w:val="22"/>
                <w:szCs w:val="22"/>
              </w:rPr>
              <w:t xml:space="preserve"> or April 15</w:t>
            </w:r>
            <w:r w:rsidRPr="007B70A4">
              <w:rPr>
                <w:rFonts w:asciiTheme="majorHAnsi" w:eastAsia="Times New Roman" w:hAnsiTheme="majorHAnsi" w:cs="Times New Roman"/>
                <w:sz w:val="22"/>
                <w:szCs w:val="22"/>
                <w:vertAlign w:val="superscript"/>
              </w:rPr>
              <w:t>th</w:t>
            </w:r>
            <w:r>
              <w:rPr>
                <w:rFonts w:asciiTheme="majorHAnsi" w:eastAsia="Times New Roman" w:hAnsiTheme="majorHAnsi" w:cs="Times New Roman"/>
                <w:sz w:val="22"/>
                <w:szCs w:val="22"/>
                <w:vertAlign w:val="superscript"/>
              </w:rPr>
              <w:t xml:space="preserve"> </w:t>
            </w:r>
            <w:r>
              <w:rPr>
                <w:rFonts w:asciiTheme="majorHAnsi" w:eastAsia="Times New Roman" w:hAnsiTheme="majorHAnsi" w:cs="Times New Roman"/>
                <w:sz w:val="22"/>
                <w:szCs w:val="22"/>
              </w:rPr>
              <w:t>. Admissions criteria:</w:t>
            </w:r>
          </w:p>
          <w:p w14:paraId="57F9C361" w14:textId="77777777" w:rsidR="00E61908" w:rsidRPr="007B70A4" w:rsidRDefault="00E61908" w:rsidP="00E61908">
            <w:pPr>
              <w:pStyle w:val="ListParagraph"/>
              <w:numPr>
                <w:ilvl w:val="0"/>
                <w:numId w:val="8"/>
              </w:numPr>
              <w:ind w:left="522" w:hanging="288"/>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Admission to Rhode Island College and declaration of nursing as the major</w:t>
            </w:r>
          </w:p>
          <w:p w14:paraId="23C94937" w14:textId="77777777" w:rsidR="00E61908" w:rsidRPr="007B70A4" w:rsidRDefault="00E61908" w:rsidP="00E61908">
            <w:pPr>
              <w:pStyle w:val="ListParagraph"/>
              <w:numPr>
                <w:ilvl w:val="0"/>
                <w:numId w:val="8"/>
              </w:numPr>
              <w:ind w:left="522" w:hanging="288"/>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Completion of NURS 207/NURS 225 with a minimum grade of C</w:t>
            </w:r>
          </w:p>
          <w:p w14:paraId="7C0A88CF" w14:textId="77777777" w:rsidR="00E61908" w:rsidRPr="007B70A4" w:rsidRDefault="00E61908" w:rsidP="00E61908">
            <w:pPr>
              <w:pStyle w:val="ListParagraph"/>
              <w:numPr>
                <w:ilvl w:val="0"/>
                <w:numId w:val="8"/>
              </w:numPr>
              <w:ind w:left="522" w:hanging="288"/>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Completion of Math and Writing Requirements</w:t>
            </w:r>
          </w:p>
          <w:p w14:paraId="3B2F787E" w14:textId="77777777" w:rsidR="00E61908" w:rsidRPr="007B70A4" w:rsidRDefault="00E61908" w:rsidP="00E61908">
            <w:pPr>
              <w:pStyle w:val="ListParagraph"/>
              <w:numPr>
                <w:ilvl w:val="0"/>
                <w:numId w:val="8"/>
              </w:numPr>
              <w:ind w:left="522" w:hanging="288"/>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 current unrestricted Rhode Island Nursing license</w:t>
            </w:r>
          </w:p>
          <w:p w14:paraId="272E4707" w14:textId="77777777" w:rsidR="00E61908" w:rsidRPr="007B70A4" w:rsidRDefault="00E61908" w:rsidP="00E61908">
            <w:pPr>
              <w:pStyle w:val="ListParagraph"/>
              <w:numPr>
                <w:ilvl w:val="0"/>
                <w:numId w:val="8"/>
              </w:numPr>
              <w:ind w:left="522" w:hanging="288"/>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 minimum GPA of 2.5</w:t>
            </w:r>
          </w:p>
          <w:p w14:paraId="3567956F" w14:textId="77777777" w:rsidR="00E61908" w:rsidRDefault="00E61908" w:rsidP="00E61908">
            <w:pPr>
              <w:pStyle w:val="ListParagraph"/>
              <w:numPr>
                <w:ilvl w:val="0"/>
                <w:numId w:val="30"/>
              </w:numPr>
              <w:ind w:left="522" w:hanging="288"/>
              <w:rPr>
                <w:rFonts w:ascii="Minion Pro Bold Cond Ital" w:eastAsia="MS Gothic" w:hAnsi="Minion Pro Bold Cond Ital" w:cs="Minion Pro Bold Cond Ital"/>
                <w:color w:val="000000"/>
                <w:sz w:val="22"/>
                <w:szCs w:val="22"/>
              </w:rPr>
            </w:pPr>
            <w:r w:rsidRPr="00C43C2E">
              <w:rPr>
                <w:rFonts w:ascii="Minion Pro Bold Cond Ital" w:eastAsia="MS Gothic" w:hAnsi="Minion Pro Bold Cond Ital" w:cs="Minion Pro Bold Cond Ital"/>
                <w:color w:val="000000"/>
                <w:sz w:val="22"/>
                <w:szCs w:val="22"/>
              </w:rPr>
              <w:t xml:space="preserve">Upon acceptance to School of Nursing students must submit and update immunizations with RIC Health Services.  </w:t>
            </w:r>
          </w:p>
          <w:p w14:paraId="61DC9E83" w14:textId="77777777" w:rsidR="00E61908" w:rsidRDefault="00E61908" w:rsidP="00E61908">
            <w:pPr>
              <w:pStyle w:val="ListParagraph"/>
              <w:numPr>
                <w:ilvl w:val="0"/>
                <w:numId w:val="30"/>
              </w:numPr>
              <w:ind w:left="522" w:hanging="288"/>
              <w:rPr>
                <w:rFonts w:ascii="Minion Pro Bold Cond Ital" w:eastAsia="MS Gothic" w:hAnsi="Minion Pro Bold Cond Ital" w:cs="Minion Pro Bold Cond Ital"/>
                <w:color w:val="000000"/>
                <w:sz w:val="22"/>
                <w:szCs w:val="22"/>
              </w:rPr>
            </w:pPr>
            <w:r w:rsidRPr="00C43C2E">
              <w:rPr>
                <w:rFonts w:ascii="Minion Pro Bold Cond Ital" w:eastAsia="MS Gothic" w:hAnsi="Minion Pro Bold Cond Ital" w:cs="Minion Pro Bold Cond Ital"/>
                <w:color w:val="000000"/>
                <w:sz w:val="22"/>
                <w:szCs w:val="22"/>
              </w:rPr>
              <w:t xml:space="preserve">Students must submit a Criminal Background Check through certifiedbackground.com. </w:t>
            </w:r>
          </w:p>
          <w:p w14:paraId="67B9E39A" w14:textId="77777777" w:rsidR="00E61908" w:rsidRDefault="00E61908" w:rsidP="00E61908">
            <w:pPr>
              <w:pStyle w:val="ListParagraph"/>
              <w:numPr>
                <w:ilvl w:val="0"/>
                <w:numId w:val="30"/>
              </w:numPr>
              <w:ind w:left="522" w:hanging="288"/>
              <w:rPr>
                <w:rFonts w:ascii="Minion Pro Bold Cond Ital" w:eastAsia="MS Gothic" w:hAnsi="Minion Pro Bold Cond Ital" w:cs="Minion Pro Bold Cond Ital"/>
                <w:color w:val="000000"/>
                <w:sz w:val="22"/>
                <w:szCs w:val="22"/>
              </w:rPr>
            </w:pPr>
            <w:r w:rsidRPr="00C43C2E">
              <w:rPr>
                <w:rFonts w:ascii="Minion Pro Bold Cond Ital" w:eastAsia="MS Gothic" w:hAnsi="Minion Pro Bold Cond Ital" w:cs="Minion Pro Bold Cond Ital"/>
                <w:color w:val="000000"/>
                <w:sz w:val="22"/>
                <w:szCs w:val="22"/>
              </w:rPr>
              <w:t>Students must maintain an unencumbered RN license from the State of Rhode Island and have a current healthcare provider CPR card.</w:t>
            </w:r>
          </w:p>
          <w:p w14:paraId="5740C112" w14:textId="0BA33078" w:rsidR="00E61908" w:rsidRPr="00C43C2E" w:rsidRDefault="00E61908" w:rsidP="00E61908">
            <w:pPr>
              <w:pStyle w:val="ListParagraph"/>
              <w:numPr>
                <w:ilvl w:val="0"/>
                <w:numId w:val="30"/>
              </w:numPr>
              <w:ind w:left="522" w:hanging="288"/>
              <w:rPr>
                <w:rFonts w:ascii="Minion Pro Bold Cond Ital" w:eastAsia="MS Gothic" w:hAnsi="Minion Pro Bold Cond Ital" w:cs="Minion Pro Bold Cond Ital"/>
                <w:color w:val="000000"/>
                <w:sz w:val="22"/>
                <w:szCs w:val="22"/>
              </w:rPr>
            </w:pPr>
            <w:r w:rsidRPr="00C43C2E">
              <w:rPr>
                <w:rFonts w:ascii="Minion Pro Bold Cond Ital" w:eastAsia="MS Gothic" w:hAnsi="Minion Pro Bold Cond Ital" w:cs="Minion Pro Bold Cond Ital"/>
                <w:color w:val="000000"/>
                <w:sz w:val="22"/>
                <w:szCs w:val="22"/>
              </w:rPr>
              <w:t>Students must earn a grade of ‘C” or better to progress in the nursing program</w:t>
            </w:r>
          </w:p>
          <w:p w14:paraId="78293A31" w14:textId="40580421" w:rsidR="00F57D30" w:rsidRPr="007B70A4" w:rsidRDefault="00F57D30" w:rsidP="00E61908">
            <w:pPr>
              <w:ind w:hanging="288"/>
              <w:rPr>
                <w:rFonts w:ascii="Minion Pro Bold Cond Ital" w:eastAsia="MS Gothic" w:hAnsi="Minion Pro Bold Cond Ital" w:cs="Minion Pro Bold Cond Ital"/>
                <w:color w:val="000000"/>
                <w:sz w:val="22"/>
                <w:szCs w:val="22"/>
              </w:rPr>
            </w:pPr>
          </w:p>
        </w:tc>
      </w:tr>
    </w:tbl>
    <w:p w14:paraId="0E873434" w14:textId="77777777" w:rsidR="00E61908" w:rsidRDefault="00E61908"/>
    <w:p w14:paraId="44FD4035" w14:textId="77777777" w:rsidR="00E61908" w:rsidRDefault="00E61908"/>
    <w:p w14:paraId="42950853" w14:textId="77777777" w:rsidR="00E61908" w:rsidRDefault="00E6190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274FAAB2"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E61908" w:rsidRPr="00A52EF9" w14:paraId="2964246F" w14:textId="77777777" w:rsidTr="00E61908">
        <w:trPr>
          <w:trHeight w:val="196"/>
        </w:trPr>
        <w:tc>
          <w:tcPr>
            <w:tcW w:w="4500" w:type="dxa"/>
          </w:tcPr>
          <w:p w14:paraId="2FE35896" w14:textId="77777777" w:rsidR="00E61908" w:rsidRPr="00A52EF9" w:rsidRDefault="00E61908" w:rsidP="00E61908">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NURS 316 </w:t>
            </w:r>
            <w:r w:rsidRPr="00C43C2E">
              <w:rPr>
                <w:rFonts w:asciiTheme="majorHAnsi" w:eastAsia="MS Gothic" w:hAnsiTheme="majorHAnsi" w:cs="Minion Pro Bold Cond Ital"/>
                <w:color w:val="000000"/>
                <w:sz w:val="22"/>
                <w:szCs w:val="22"/>
              </w:rPr>
              <w:t>Physical Assessment of the Adult and Child*</w:t>
            </w:r>
          </w:p>
        </w:tc>
        <w:tc>
          <w:tcPr>
            <w:tcW w:w="810" w:type="dxa"/>
          </w:tcPr>
          <w:p w14:paraId="3FCA35DA" w14:textId="77777777" w:rsidR="00E61908" w:rsidRPr="008C517B" w:rsidRDefault="00E61908" w:rsidP="00E61908">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B80D159" w14:textId="77777777" w:rsidR="00E61908" w:rsidRPr="00B83842" w:rsidRDefault="00E61908" w:rsidP="00E61908">
            <w:pPr>
              <w:pStyle w:val="ListParagraph"/>
              <w:ind w:left="360"/>
              <w:rPr>
                <w:rFonts w:asciiTheme="majorHAnsi" w:eastAsia="Times New Roman" w:hAnsiTheme="majorHAnsi" w:cs="Times New Roman"/>
                <w:sz w:val="22"/>
                <w:szCs w:val="22"/>
              </w:rPr>
            </w:pPr>
          </w:p>
        </w:tc>
        <w:tc>
          <w:tcPr>
            <w:tcW w:w="5580" w:type="dxa"/>
          </w:tcPr>
          <w:p w14:paraId="27EC256A" w14:textId="77777777" w:rsidR="00E61908" w:rsidRPr="00B83842" w:rsidRDefault="00E61908" w:rsidP="00E61908">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Pre-requisites – acceptance into RN – BSN Program, NURS 207, NURS 225</w:t>
            </w:r>
          </w:p>
        </w:tc>
      </w:tr>
      <w:tr w:rsidR="00C170F9" w:rsidRPr="00A52EF9" w14:paraId="3D2B8344" w14:textId="77777777" w:rsidTr="00131758">
        <w:trPr>
          <w:trHeight w:val="196"/>
        </w:trPr>
        <w:tc>
          <w:tcPr>
            <w:tcW w:w="4500" w:type="dxa"/>
          </w:tcPr>
          <w:p w14:paraId="332598E3" w14:textId="0101A7B1" w:rsidR="00C170F9" w:rsidRPr="00FD0BB6" w:rsidRDefault="00AE5C3D" w:rsidP="005A4645">
            <w:pPr>
              <w:rPr>
                <w:rFonts w:asciiTheme="majorHAnsi" w:eastAsia="Times New Roman" w:hAnsiTheme="majorHAnsi" w:cs="Times New Roman"/>
                <w:w w:val="85"/>
                <w:sz w:val="22"/>
                <w:szCs w:val="22"/>
              </w:rPr>
            </w:pPr>
            <w:r>
              <w:rPr>
                <w:rFonts w:asciiTheme="majorHAnsi" w:eastAsia="Times New Roman" w:hAnsiTheme="majorHAnsi" w:cs="Times New Roman"/>
                <w:w w:val="85"/>
                <w:sz w:val="22"/>
                <w:szCs w:val="22"/>
              </w:rPr>
              <w:t>Electives if needed</w:t>
            </w:r>
          </w:p>
        </w:tc>
        <w:tc>
          <w:tcPr>
            <w:tcW w:w="810" w:type="dxa"/>
          </w:tcPr>
          <w:p w14:paraId="44670512" w14:textId="6D95CFCF"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r w:rsidR="003868FA">
              <w:rPr>
                <w:rFonts w:asciiTheme="majorHAnsi" w:eastAsia="Times New Roman" w:hAnsiTheme="majorHAnsi" w:cs="Times New Roman"/>
                <w:color w:val="800000"/>
                <w:sz w:val="22"/>
                <w:szCs w:val="22"/>
              </w:rPr>
              <w:t xml:space="preserve"> </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2D21B31A" w:rsidR="00C170F9" w:rsidRPr="00B83842" w:rsidRDefault="005A4645" w:rsidP="005A4645">
            <w:pPr>
              <w:pStyle w:val="ListParagraph"/>
              <w:ind w:left="360"/>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w w:val="90"/>
                <w:sz w:val="22"/>
                <w:szCs w:val="22"/>
              </w:rPr>
              <w:t>Consult with academic advisor regarding general education course(s)</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27521A5B"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3868FA">
              <w:rPr>
                <w:rFonts w:asciiTheme="majorHAnsi" w:eastAsia="Times New Roman" w:hAnsiTheme="majorHAnsi" w:cs="Times New Roman"/>
                <w:sz w:val="22"/>
                <w:szCs w:val="22"/>
              </w:rPr>
              <w:t xml:space="preserve">inimum of </w:t>
            </w:r>
            <w:r w:rsidR="00AE5C3D">
              <w:rPr>
                <w:rFonts w:asciiTheme="majorHAnsi" w:eastAsia="Times New Roman" w:hAnsiTheme="majorHAnsi" w:cs="Times New Roman"/>
                <w:sz w:val="22"/>
                <w:szCs w:val="22"/>
              </w:rPr>
              <w:t>18</w:t>
            </w:r>
            <w:r w:rsidRPr="00B83842">
              <w:rPr>
                <w:rFonts w:asciiTheme="majorHAnsi" w:eastAsia="Times New Roman" w:hAnsiTheme="majorHAnsi" w:cs="Times New Roman"/>
                <w:sz w:val="22"/>
                <w:szCs w:val="22"/>
              </w:rPr>
              <w:t xml:space="preserve"> earned credits</w:t>
            </w:r>
            <w:r w:rsidRPr="00B83842">
              <w:rPr>
                <w:rFonts w:ascii="Minion Pro Bold Cond Ital" w:eastAsia="MS Gothic" w:hAnsi="Minion Pro Bold Cond Ital" w:cs="Minion Pro Bold Cond Ital"/>
                <w:color w:val="000000"/>
                <w:sz w:val="22"/>
                <w:szCs w:val="22"/>
              </w:rPr>
              <w:t xml:space="preserve"> </w:t>
            </w:r>
          </w:p>
          <w:p w14:paraId="37A3D2BE" w14:textId="796ADE0D" w:rsidR="00C170F9" w:rsidRPr="00D460F1" w:rsidRDefault="00E61908" w:rsidP="00D460F1">
            <w:pPr>
              <w:pStyle w:val="ListParagraph"/>
              <w:numPr>
                <w:ilvl w:val="0"/>
                <w:numId w:val="18"/>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2.5</w:t>
            </w:r>
            <w:r w:rsidR="00C170F9" w:rsidRPr="00D460F1">
              <w:rPr>
                <w:rFonts w:asciiTheme="majorHAnsi" w:eastAsia="Times New Roman" w:hAnsiTheme="majorHAnsi" w:cs="Times New Roman"/>
                <w:sz w:val="22"/>
                <w:szCs w:val="22"/>
              </w:rPr>
              <w:t xml:space="preserve">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13C9ED1A" w:rsidR="00C170F9" w:rsidRPr="008C517B" w:rsidRDefault="003868F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40230327" w:rsidR="00C170F9" w:rsidRPr="00AB7178" w:rsidRDefault="00C170F9" w:rsidP="0083446D">
            <w:pPr>
              <w:pStyle w:val="ListParagraph"/>
              <w:numPr>
                <w:ilvl w:val="0"/>
                <w:numId w:val="19"/>
              </w:numPr>
              <w:rPr>
                <w:rFonts w:ascii="Minion Pro Bold Cond Ital" w:eastAsia="MS Gothic" w:hAnsi="Minion Pro Bold Cond Ital" w:cs="Minion Pro Bold Cond Ital"/>
                <w:color w:val="000000"/>
                <w:w w:val="80"/>
                <w:sz w:val="20"/>
                <w:szCs w:val="20"/>
              </w:rPr>
            </w:pPr>
            <w:r w:rsidRPr="00AB7178">
              <w:rPr>
                <w:rFonts w:asciiTheme="majorHAnsi" w:eastAsia="Times New Roman" w:hAnsiTheme="majorHAnsi" w:cs="Times New Roman"/>
                <w:w w:val="80"/>
                <w:sz w:val="20"/>
                <w:szCs w:val="20"/>
              </w:rPr>
              <w:t xml:space="preserve">Make appointment with advisor to discuss your schedule for next semester </w:t>
            </w:r>
          </w:p>
        </w:tc>
      </w:tr>
    </w:tbl>
    <w:p w14:paraId="6A6D252D" w14:textId="77777777" w:rsidR="00E61908" w:rsidRDefault="00E61908"/>
    <w:p w14:paraId="7838250F" w14:textId="77777777" w:rsidR="00E61908" w:rsidRDefault="00E61908"/>
    <w:p w14:paraId="1CF29801" w14:textId="77777777" w:rsidR="00E61908" w:rsidRDefault="00E61908"/>
    <w:p w14:paraId="01D67066" w14:textId="77777777" w:rsidR="00E61908" w:rsidRDefault="00E6190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148688EB" w:rsidR="00C170F9" w:rsidRPr="002F1A3C" w:rsidRDefault="00AE5C3D" w:rsidP="00AE5C3D">
            <w:pPr>
              <w:rPr>
                <w:rFonts w:asciiTheme="majorHAnsi" w:eastAsia="Times New Roman" w:hAnsiTheme="majorHAnsi" w:cs="Times New Roman"/>
                <w:b/>
                <w:i/>
                <w:color w:val="800000"/>
                <w:sz w:val="28"/>
                <w:szCs w:val="28"/>
              </w:rPr>
            </w:pPr>
            <w:r>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13F3C6EF"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E61908" w:rsidRPr="00B75FA4" w14:paraId="6DAA3884" w14:textId="77777777" w:rsidTr="00E61908">
        <w:trPr>
          <w:trHeight w:val="196"/>
        </w:trPr>
        <w:tc>
          <w:tcPr>
            <w:tcW w:w="4500" w:type="dxa"/>
          </w:tcPr>
          <w:p w14:paraId="539F5834" w14:textId="77777777" w:rsidR="00E61908" w:rsidRPr="00B75FA4" w:rsidRDefault="00E61908" w:rsidP="00E61908">
            <w:pPr>
              <w:rPr>
                <w:rFonts w:asciiTheme="majorHAnsi" w:eastAsia="Times New Roman" w:hAnsiTheme="majorHAnsi" w:cs="Times New Roman"/>
                <w:sz w:val="22"/>
                <w:szCs w:val="22"/>
              </w:rPr>
            </w:pPr>
            <w:r>
              <w:rPr>
                <w:rFonts w:asciiTheme="majorHAnsi" w:eastAsia="MS Gothic" w:hAnsiTheme="majorHAnsi" w:cs="Minion Pro Bold Cond Ital"/>
                <w:color w:val="000000"/>
                <w:w w:val="85"/>
                <w:sz w:val="22"/>
                <w:szCs w:val="22"/>
              </w:rPr>
              <w:t xml:space="preserve">NURS 370  </w:t>
            </w:r>
            <w:r w:rsidRPr="00C43C2E">
              <w:rPr>
                <w:rFonts w:asciiTheme="majorHAnsi" w:eastAsia="MS Gothic" w:hAnsiTheme="majorHAnsi" w:cs="Minion Pro Bold Cond Ital"/>
                <w:color w:val="000000"/>
                <w:w w:val="85"/>
                <w:sz w:val="22"/>
                <w:szCs w:val="22"/>
              </w:rPr>
              <w:t>Public and Community Health Nursing*</w:t>
            </w:r>
          </w:p>
        </w:tc>
        <w:tc>
          <w:tcPr>
            <w:tcW w:w="810" w:type="dxa"/>
          </w:tcPr>
          <w:p w14:paraId="2307B1F0" w14:textId="77777777" w:rsidR="00E61908" w:rsidRPr="008C517B" w:rsidRDefault="00E61908" w:rsidP="00E6190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7941FF01" w14:textId="77777777" w:rsidR="00E61908" w:rsidRPr="00D7242E" w:rsidRDefault="00E61908" w:rsidP="00E61908">
            <w:pPr>
              <w:pStyle w:val="ListParagraph"/>
              <w:ind w:left="360"/>
              <w:rPr>
                <w:rFonts w:asciiTheme="majorHAnsi" w:eastAsia="MS Gothic" w:hAnsiTheme="majorHAnsi" w:cs="Minion Pro Bold Cond Ital"/>
                <w:color w:val="000000"/>
                <w:sz w:val="22"/>
                <w:szCs w:val="22"/>
              </w:rPr>
            </w:pPr>
          </w:p>
        </w:tc>
        <w:tc>
          <w:tcPr>
            <w:tcW w:w="5580" w:type="dxa"/>
          </w:tcPr>
          <w:p w14:paraId="73E0B9C1" w14:textId="77777777" w:rsidR="00E61908" w:rsidRDefault="00E61908" w:rsidP="00E61908">
            <w:pPr>
              <w:pStyle w:val="ListParagraph"/>
              <w:numPr>
                <w:ilvl w:val="0"/>
                <w:numId w:val="22"/>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Prerequisites – NURS 207, NURS 225, NURS 316</w:t>
            </w:r>
          </w:p>
          <w:p w14:paraId="0F430CA4" w14:textId="77777777" w:rsidR="00E61908" w:rsidRDefault="00E61908" w:rsidP="00E61908">
            <w:pPr>
              <w:pStyle w:val="ListParagraph"/>
              <w:numPr>
                <w:ilvl w:val="0"/>
                <w:numId w:val="22"/>
              </w:numPr>
              <w:rPr>
                <w:rFonts w:asciiTheme="majorHAnsi" w:eastAsia="MS Gothic" w:hAnsiTheme="majorHAnsi" w:cs="Minion Pro Bold Cond Ital"/>
                <w:color w:val="000000"/>
                <w:sz w:val="22"/>
                <w:szCs w:val="22"/>
              </w:rPr>
            </w:pPr>
            <w:r w:rsidRPr="007B3C91">
              <w:rPr>
                <w:rFonts w:asciiTheme="majorHAnsi" w:eastAsia="MS Gothic" w:hAnsiTheme="majorHAnsi" w:cs="Minion Pro Bold Cond Ital"/>
                <w:color w:val="000000"/>
                <w:sz w:val="22"/>
                <w:szCs w:val="22"/>
              </w:rPr>
              <w:t>ATI testing completed in NURS 370</w:t>
            </w:r>
          </w:p>
          <w:p w14:paraId="1A4895DE" w14:textId="77777777" w:rsidR="00E61908" w:rsidRPr="007B3C91" w:rsidRDefault="00E61908" w:rsidP="00E61908">
            <w:pPr>
              <w:pStyle w:val="ListParagraph"/>
              <w:numPr>
                <w:ilvl w:val="0"/>
                <w:numId w:val="22"/>
              </w:numPr>
              <w:rPr>
                <w:rFonts w:asciiTheme="majorHAnsi" w:eastAsia="MS Gothic" w:hAnsiTheme="majorHAnsi" w:cs="Minion Pro Bold Cond Ital"/>
                <w:color w:val="000000"/>
                <w:sz w:val="22"/>
                <w:szCs w:val="22"/>
              </w:rPr>
            </w:pPr>
            <w:r w:rsidRPr="007B3C91">
              <w:rPr>
                <w:rFonts w:asciiTheme="majorHAnsi" w:eastAsia="MS Gothic" w:hAnsiTheme="majorHAnsi" w:cs="Minion Pro Bold Cond Ital"/>
                <w:color w:val="000000"/>
                <w:sz w:val="22"/>
                <w:szCs w:val="22"/>
              </w:rPr>
              <w:t>Apply for graduation audit</w:t>
            </w:r>
          </w:p>
        </w:tc>
      </w:tr>
      <w:tr w:rsidR="00C170F9" w:rsidRPr="00A52EF9" w14:paraId="1CEC53A6" w14:textId="77777777" w:rsidTr="00131758">
        <w:trPr>
          <w:trHeight w:val="196"/>
        </w:trPr>
        <w:tc>
          <w:tcPr>
            <w:tcW w:w="4500" w:type="dxa"/>
          </w:tcPr>
          <w:p w14:paraId="36471C1C" w14:textId="77777777" w:rsidR="00E61908" w:rsidRDefault="00E61908" w:rsidP="00E61908">
            <w:pPr>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4499C255"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3050A1">
              <w:rPr>
                <w:rFonts w:asciiTheme="majorHAnsi" w:eastAsia="Times New Roman" w:hAnsiTheme="majorHAnsi" w:cs="Times New Roman"/>
                <w:sz w:val="22"/>
                <w:szCs w:val="22"/>
              </w:rPr>
              <w:t>inimum of 24</w:t>
            </w:r>
            <w:r w:rsidRPr="00220DE5">
              <w:rPr>
                <w:rFonts w:asciiTheme="majorHAnsi" w:eastAsia="Times New Roman" w:hAnsiTheme="majorHAnsi" w:cs="Times New Roman"/>
                <w:sz w:val="22"/>
                <w:szCs w:val="22"/>
              </w:rPr>
              <w:t xml:space="preserve"> earned credits,</w:t>
            </w:r>
          </w:p>
          <w:p w14:paraId="609DB317" w14:textId="51AE6E51" w:rsidR="0083446D" w:rsidRPr="00E61908" w:rsidRDefault="00E61908" w:rsidP="00E61908">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2.5</w:t>
            </w:r>
            <w:r w:rsidR="00C170F9" w:rsidRPr="00D460F1">
              <w:rPr>
                <w:rFonts w:asciiTheme="majorHAnsi" w:eastAsia="Times New Roman" w:hAnsiTheme="majorHAnsi" w:cs="Times New Roman"/>
                <w:sz w:val="22"/>
                <w:szCs w:val="22"/>
              </w:rPr>
              <w:t xml:space="preserve">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1DBE5699" w:rsidR="00C170F9" w:rsidRPr="008C517B" w:rsidRDefault="003868F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70BE0CE6" w:rsidR="00C170F9" w:rsidRPr="00460802" w:rsidRDefault="00D32FE7" w:rsidP="00B478E0">
            <w:pPr>
              <w:pStyle w:val="ListParagraph"/>
              <w:numPr>
                <w:ilvl w:val="0"/>
                <w:numId w:val="26"/>
              </w:numPr>
              <w:rPr>
                <w:rFonts w:ascii="Minion Pro Bold Cond Ital" w:eastAsia="MS Gothic" w:hAnsi="Minion Pro Bold Cond Ital" w:cs="Minion Pro Bold Cond Ital"/>
                <w:color w:val="000000"/>
                <w:w w:val="9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and apply for a degree audit through MyRIC.</w:t>
            </w:r>
          </w:p>
        </w:tc>
      </w:tr>
    </w:tbl>
    <w:p w14:paraId="724D49C0" w14:textId="77777777" w:rsidR="00150D9A" w:rsidRDefault="00150D9A"/>
    <w:p w14:paraId="1A134722" w14:textId="77777777" w:rsidR="00150D9A" w:rsidRDefault="00150D9A"/>
    <w:p w14:paraId="709CAAE8" w14:textId="77777777" w:rsidR="00150D9A" w:rsidRDefault="00150D9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41F384D5" w:rsidR="00C170F9" w:rsidRPr="002F1A3C" w:rsidRDefault="00C170F9" w:rsidP="00D32FE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664DBCEB"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E61908" w:rsidRPr="00A52EF9" w14:paraId="635930FB" w14:textId="77777777" w:rsidTr="00E61908">
        <w:trPr>
          <w:trHeight w:val="196"/>
        </w:trPr>
        <w:tc>
          <w:tcPr>
            <w:tcW w:w="4500" w:type="dxa"/>
          </w:tcPr>
          <w:p w14:paraId="5AF19910" w14:textId="77777777" w:rsidR="00E61908" w:rsidRPr="00860E81" w:rsidRDefault="00E61908" w:rsidP="00E61908">
            <w:pPr>
              <w:pStyle w:val="TableParagraph"/>
              <w:tabs>
                <w:tab w:val="left" w:pos="5399"/>
              </w:tabs>
              <w:rPr>
                <w:rFonts w:ascii="Calibri"/>
                <w:spacing w:val="2"/>
              </w:rPr>
            </w:pPr>
            <w:r>
              <w:rPr>
                <w:rFonts w:asciiTheme="majorHAnsi" w:eastAsia="Times New Roman" w:hAnsiTheme="majorHAnsi" w:cs="Times New Roman"/>
              </w:rPr>
              <w:t>NURS 376</w:t>
            </w:r>
            <w:r w:rsidRPr="00C43C2E">
              <w:rPr>
                <w:rFonts w:asciiTheme="majorHAnsi" w:eastAsia="Times New Roman" w:hAnsiTheme="majorHAnsi" w:cs="Times New Roman"/>
              </w:rPr>
              <w:t xml:space="preserve"> Contemporary Nursing Practices:</w:t>
            </w:r>
            <w:r>
              <w:rPr>
                <w:rFonts w:asciiTheme="majorHAnsi" w:eastAsia="Times New Roman" w:hAnsiTheme="majorHAnsi" w:cs="Times New Roman"/>
              </w:rPr>
              <w:t xml:space="preserve"> </w:t>
            </w:r>
            <w:r w:rsidRPr="00C43C2E">
              <w:rPr>
                <w:rFonts w:asciiTheme="majorHAnsi" w:eastAsia="Times New Roman" w:hAnsiTheme="majorHAnsi" w:cs="Times New Roman"/>
              </w:rPr>
              <w:t>Issues and Challenges*</w:t>
            </w:r>
          </w:p>
        </w:tc>
        <w:tc>
          <w:tcPr>
            <w:tcW w:w="810" w:type="dxa"/>
          </w:tcPr>
          <w:p w14:paraId="0189F03B" w14:textId="77777777" w:rsidR="00E61908" w:rsidRPr="008C517B" w:rsidRDefault="00E61908" w:rsidP="00E61908">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3D1ACC0" w14:textId="77777777" w:rsidR="00E61908" w:rsidRPr="00A52EF9" w:rsidRDefault="00E61908" w:rsidP="00E61908">
            <w:pPr>
              <w:rPr>
                <w:rFonts w:ascii="Minion Pro Bold Cond Ital" w:eastAsia="MS Gothic" w:hAnsi="Minion Pro Bold Cond Ital" w:cs="Minion Pro Bold Cond Ital"/>
                <w:color w:val="000000"/>
                <w:sz w:val="22"/>
                <w:szCs w:val="22"/>
              </w:rPr>
            </w:pPr>
          </w:p>
        </w:tc>
        <w:tc>
          <w:tcPr>
            <w:tcW w:w="5580" w:type="dxa"/>
          </w:tcPr>
          <w:p w14:paraId="3DDD06C3" w14:textId="77777777" w:rsidR="00E61908" w:rsidRPr="007B3C91" w:rsidRDefault="00E61908" w:rsidP="00E61908">
            <w:pPr>
              <w:pStyle w:val="ListParagraph"/>
              <w:numPr>
                <w:ilvl w:val="0"/>
                <w:numId w:val="23"/>
              </w:numPr>
              <w:rPr>
                <w:rFonts w:asciiTheme="majorHAnsi" w:eastAsia="MS Gothic" w:hAnsiTheme="majorHAnsi" w:cs="Minion Pro Bold Cond Ital"/>
                <w:color w:val="000000"/>
                <w:sz w:val="22"/>
                <w:szCs w:val="22"/>
              </w:rPr>
            </w:pPr>
            <w:r w:rsidRPr="007B3C91">
              <w:rPr>
                <w:rFonts w:asciiTheme="majorHAnsi" w:eastAsia="MS Gothic" w:hAnsiTheme="majorHAnsi" w:cs="Minion Pro Bold Cond Ital"/>
                <w:color w:val="000000"/>
                <w:sz w:val="22"/>
                <w:szCs w:val="22"/>
              </w:rPr>
              <w:t>Prereq. RN Student and NURS 370</w:t>
            </w:r>
            <w:r>
              <w:rPr>
                <w:rFonts w:asciiTheme="majorHAnsi" w:eastAsia="MS Gothic" w:hAnsiTheme="majorHAnsi" w:cs="Minion Pro Bold Cond Ital"/>
                <w:color w:val="000000"/>
                <w:sz w:val="22"/>
                <w:szCs w:val="22"/>
              </w:rPr>
              <w:t>, or consent of program director</w:t>
            </w:r>
          </w:p>
        </w:tc>
      </w:tr>
      <w:tr w:rsidR="00C170F9" w:rsidRPr="00A52EF9" w14:paraId="6D3AD1F1" w14:textId="77777777" w:rsidTr="00131758">
        <w:trPr>
          <w:trHeight w:val="196"/>
        </w:trPr>
        <w:tc>
          <w:tcPr>
            <w:tcW w:w="4500" w:type="dxa"/>
          </w:tcPr>
          <w:p w14:paraId="7925D79E" w14:textId="77777777" w:rsidR="00C170F9" w:rsidRDefault="00C170F9" w:rsidP="00041C05">
            <w:pPr>
              <w:jc w:val="right"/>
              <w:rPr>
                <w:rFonts w:asciiTheme="majorHAnsi" w:eastAsia="Times New Roman" w:hAnsiTheme="majorHAnsi" w:cs="Times New Roman"/>
                <w:sz w:val="22"/>
                <w:szCs w:val="22"/>
              </w:rPr>
            </w:pPr>
          </w:p>
          <w:p w14:paraId="3BCDCA40" w14:textId="77777777" w:rsidR="00150D9A" w:rsidRDefault="00150D9A" w:rsidP="00041C05">
            <w:pPr>
              <w:jc w:val="right"/>
              <w:rPr>
                <w:rFonts w:asciiTheme="majorHAnsi" w:eastAsia="Times New Roman" w:hAnsiTheme="majorHAnsi" w:cs="Times New Roman"/>
                <w:sz w:val="22"/>
                <w:szCs w:val="22"/>
              </w:rPr>
            </w:pPr>
          </w:p>
          <w:p w14:paraId="60D4CAD8" w14:textId="77777777" w:rsidR="00150D9A" w:rsidRDefault="00150D9A" w:rsidP="00041C05">
            <w:pPr>
              <w:jc w:val="right"/>
              <w:rPr>
                <w:rFonts w:asciiTheme="majorHAnsi" w:eastAsia="Times New Roman" w:hAnsiTheme="majorHAnsi" w:cs="Times New Roman"/>
                <w:sz w:val="22"/>
                <w:szCs w:val="22"/>
              </w:rPr>
            </w:pPr>
          </w:p>
          <w:p w14:paraId="5E76B940" w14:textId="77777777" w:rsidR="00150D9A" w:rsidRDefault="00150D9A" w:rsidP="00041C05">
            <w:pPr>
              <w:jc w:val="right"/>
              <w:rPr>
                <w:rFonts w:asciiTheme="majorHAnsi" w:eastAsia="Times New Roman" w:hAnsiTheme="majorHAnsi" w:cs="Times New Roman"/>
                <w:sz w:val="22"/>
                <w:szCs w:val="22"/>
              </w:rPr>
            </w:pPr>
          </w:p>
          <w:p w14:paraId="2373304B" w14:textId="0BADC4F7" w:rsidR="00150D9A" w:rsidRPr="00A52EF9" w:rsidRDefault="00150D9A"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5106705" w14:textId="0F24BDBA"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F790C90" w14:textId="3F2520A8" w:rsidR="00D32FE7" w:rsidRPr="00DA2698" w:rsidRDefault="00D32FE7" w:rsidP="00D32FE7">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Residency and graduation requirements met</w:t>
            </w:r>
          </w:p>
          <w:p w14:paraId="11E3E534" w14:textId="25C633A6" w:rsidR="00D32FE7" w:rsidRPr="00326C77" w:rsidRDefault="00E61908" w:rsidP="00D32FE7">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2.5</w:t>
            </w:r>
            <w:r w:rsidR="00D32FE7" w:rsidRPr="00326C77">
              <w:rPr>
                <w:rFonts w:asciiTheme="majorHAnsi" w:eastAsia="Times New Roman" w:hAnsiTheme="majorHAnsi" w:cs="Times New Roman"/>
                <w:sz w:val="22"/>
                <w:szCs w:val="22"/>
              </w:rPr>
              <w:t xml:space="preserve"> GPA</w:t>
            </w:r>
          </w:p>
          <w:p w14:paraId="314CE004" w14:textId="25516307" w:rsidR="00C170F9" w:rsidRPr="0083446D" w:rsidRDefault="00D32FE7" w:rsidP="00D32FE7">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Order RIC Nursing Pin and academic regalia for Pinning Ceremony/Submit brief personal statement/Attend Gradfest and Graduation!</w:t>
            </w:r>
          </w:p>
        </w:tc>
      </w:tr>
      <w:tr w:rsidR="00150D9A" w:rsidRPr="00A52EF9" w14:paraId="1ECED1D0" w14:textId="77777777" w:rsidTr="00131758">
        <w:trPr>
          <w:trHeight w:val="196"/>
        </w:trPr>
        <w:tc>
          <w:tcPr>
            <w:tcW w:w="4500" w:type="dxa"/>
          </w:tcPr>
          <w:p w14:paraId="36EA3B4F" w14:textId="0B31C336" w:rsidR="00150D9A" w:rsidRPr="00A52EF9" w:rsidRDefault="00150D9A"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2F222AF" w14:textId="0F1AB880" w:rsidR="00150D9A" w:rsidRDefault="00150D9A"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2E297D60" w14:textId="77777777" w:rsidR="00150D9A" w:rsidRDefault="00150D9A" w:rsidP="00C170F9">
            <w:pPr>
              <w:pStyle w:val="ListParagraph"/>
              <w:ind w:left="360"/>
              <w:rPr>
                <w:rFonts w:asciiTheme="majorHAnsi" w:eastAsia="Times New Roman" w:hAnsiTheme="majorHAnsi" w:cs="Times New Roman"/>
                <w:sz w:val="22"/>
                <w:szCs w:val="22"/>
              </w:rPr>
            </w:pPr>
          </w:p>
        </w:tc>
        <w:tc>
          <w:tcPr>
            <w:tcW w:w="5580" w:type="dxa"/>
          </w:tcPr>
          <w:p w14:paraId="08BB91A3" w14:textId="77777777" w:rsidR="00150D9A" w:rsidRDefault="00150D9A" w:rsidP="00D32FE7">
            <w:pPr>
              <w:pStyle w:val="ListParagraph"/>
              <w:numPr>
                <w:ilvl w:val="0"/>
                <w:numId w:val="23"/>
              </w:numPr>
              <w:rPr>
                <w:rFonts w:asciiTheme="majorHAnsi" w:eastAsia="Times New Roman" w:hAnsiTheme="majorHAnsi" w:cs="Times New Roman"/>
                <w:sz w:val="22"/>
                <w:szCs w:val="22"/>
              </w:rPr>
            </w:pPr>
          </w:p>
        </w:tc>
      </w:tr>
    </w:tbl>
    <w:p w14:paraId="47A96F82" w14:textId="77777777" w:rsidR="00041C05" w:rsidRDefault="00041C05" w:rsidP="00041C05">
      <w:pPr>
        <w:rPr>
          <w:rFonts w:asciiTheme="majorHAnsi" w:eastAsia="Times New Roman" w:hAnsiTheme="majorHAnsi" w:cs="Times New Roman"/>
          <w:sz w:val="22"/>
          <w:szCs w:val="22"/>
        </w:rPr>
      </w:pPr>
    </w:p>
    <w:p w14:paraId="0374B0CA" w14:textId="2826C481" w:rsidR="00F54929" w:rsidRDefault="00EF0238" w:rsidP="00EF0238">
      <w:pPr>
        <w:rPr>
          <w:rFonts w:asciiTheme="majorHAnsi" w:eastAsia="Times New Roman" w:hAnsiTheme="majorHAnsi" w:cs="Times New Roman"/>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005913">
        <w:rPr>
          <w:rFonts w:asciiTheme="majorHAnsi" w:hAnsiTheme="majorHAnsi"/>
          <w:b/>
          <w:sz w:val="22"/>
          <w:szCs w:val="22"/>
        </w:rPr>
        <w:t>Nursing</w:t>
      </w:r>
      <w:r w:rsidRPr="00DD3C57">
        <w:rPr>
          <w:rFonts w:asciiTheme="majorHAnsi" w:hAnsiTheme="majorHAnsi"/>
          <w:b/>
          <w:sz w:val="22"/>
          <w:szCs w:val="22"/>
        </w:rPr>
        <w:t xml:space="preserve"> Department website</w:t>
      </w:r>
      <w:r>
        <w:rPr>
          <w:rFonts w:asciiTheme="majorHAnsi" w:hAnsiTheme="majorHAnsi"/>
          <w:sz w:val="22"/>
          <w:szCs w:val="22"/>
        </w:rPr>
        <w:t xml:space="preserve">: </w:t>
      </w:r>
      <w:hyperlink r:id="rId10" w:history="1">
        <w:r w:rsidR="00150D9A" w:rsidRPr="001E5990">
          <w:rPr>
            <w:rStyle w:val="Hyperlink"/>
          </w:rPr>
          <w:t>http://www.ric.edu/nursing/Pages/default.aspx</w:t>
        </w:r>
      </w:hyperlink>
    </w:p>
    <w:p w14:paraId="2BBE864D" w14:textId="77777777" w:rsidR="00B17927" w:rsidRDefault="00B17927" w:rsidP="00041C05">
      <w:pPr>
        <w:rPr>
          <w:rFonts w:asciiTheme="majorHAnsi" w:eastAsia="Times New Roman" w:hAnsiTheme="majorHAnsi" w:cs="Times New Roman"/>
          <w:sz w:val="22"/>
          <w:szCs w:val="22"/>
        </w:rPr>
      </w:pPr>
    </w:p>
    <w:p w14:paraId="345597F5" w14:textId="3B4721A7" w:rsidR="001B20B9" w:rsidRPr="001B20B9" w:rsidRDefault="00F54929" w:rsidP="001B20B9">
      <w:pPr>
        <w:pStyle w:val="Heading2"/>
        <w:rPr>
          <w:rFonts w:asciiTheme="majorHAnsi" w:eastAsia="Times New Roman" w:hAnsiTheme="majorHAnsi" w:cs="Times New Roman"/>
        </w:rPr>
      </w:pPr>
      <w:r>
        <w:rPr>
          <w:rFonts w:asciiTheme="majorHAnsi" w:eastAsia="Times New Roman" w:hAnsiTheme="majorHAnsi" w:cs="Times New Roman"/>
          <w:sz w:val="24"/>
          <w:szCs w:val="24"/>
        </w:rPr>
        <w:t>This sample road</w:t>
      </w:r>
      <w:r w:rsidR="00AF662B">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map is NOT to be considered a replacement for advisement.  Each </w:t>
      </w:r>
      <w:r w:rsidR="00D32FE7">
        <w:rPr>
          <w:rFonts w:asciiTheme="majorHAnsi" w:eastAsia="Times New Roman" w:hAnsiTheme="majorHAnsi" w:cs="Times New Roman"/>
          <w:sz w:val="24"/>
          <w:szCs w:val="24"/>
        </w:rPr>
        <w:t xml:space="preserve">Second Degree </w:t>
      </w:r>
      <w:r>
        <w:rPr>
          <w:rFonts w:asciiTheme="majorHAnsi" w:eastAsia="Times New Roman" w:hAnsiTheme="majorHAnsi" w:cs="Times New Roman"/>
          <w:sz w:val="24"/>
          <w:szCs w:val="24"/>
        </w:rPr>
        <w:t>RN-BSN student based on their transfer credits and personal career goals will</w:t>
      </w:r>
      <w:r w:rsidR="004F59A6">
        <w:rPr>
          <w:rFonts w:asciiTheme="majorHAnsi" w:eastAsia="Times New Roman" w:hAnsiTheme="majorHAnsi" w:cs="Times New Roman"/>
          <w:sz w:val="24"/>
          <w:szCs w:val="24"/>
        </w:rPr>
        <w:t xml:space="preserve"> have an individual </w:t>
      </w:r>
      <w:r w:rsidR="00AF662B">
        <w:rPr>
          <w:rFonts w:asciiTheme="majorHAnsi" w:eastAsia="Times New Roman" w:hAnsiTheme="majorHAnsi" w:cs="Times New Roman"/>
          <w:sz w:val="24"/>
          <w:szCs w:val="24"/>
        </w:rPr>
        <w:t>A</w:t>
      </w:r>
      <w:r w:rsidR="004F59A6">
        <w:rPr>
          <w:rFonts w:asciiTheme="majorHAnsi" w:eastAsia="Times New Roman" w:hAnsiTheme="majorHAnsi" w:cs="Times New Roman"/>
          <w:sz w:val="24"/>
          <w:szCs w:val="24"/>
        </w:rPr>
        <w:t xml:space="preserve">cademic </w:t>
      </w:r>
      <w:r w:rsidR="00AF662B">
        <w:rPr>
          <w:rFonts w:asciiTheme="majorHAnsi" w:eastAsia="Times New Roman" w:hAnsiTheme="majorHAnsi" w:cs="Times New Roman"/>
          <w:sz w:val="24"/>
          <w:szCs w:val="24"/>
        </w:rPr>
        <w:t>R</w:t>
      </w:r>
      <w:r w:rsidR="004F59A6">
        <w:rPr>
          <w:rFonts w:asciiTheme="majorHAnsi" w:eastAsia="Times New Roman" w:hAnsiTheme="majorHAnsi" w:cs="Times New Roman"/>
          <w:sz w:val="24"/>
          <w:szCs w:val="24"/>
        </w:rPr>
        <w:t>hode</w:t>
      </w:r>
      <w:r w:rsidR="00AF662B">
        <w:rPr>
          <w:rFonts w:asciiTheme="majorHAnsi" w:eastAsia="Times New Roman" w:hAnsiTheme="majorHAnsi" w:cs="Times New Roman"/>
          <w:sz w:val="24"/>
          <w:szCs w:val="24"/>
        </w:rPr>
        <w:t xml:space="preserve"> M</w:t>
      </w:r>
      <w:r>
        <w:rPr>
          <w:rFonts w:asciiTheme="majorHAnsi" w:eastAsia="Times New Roman" w:hAnsiTheme="majorHAnsi" w:cs="Times New Roman"/>
          <w:sz w:val="24"/>
          <w:szCs w:val="24"/>
        </w:rPr>
        <w:t>ap.</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1"/>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162A9" w14:textId="77777777" w:rsidR="006159F6" w:rsidRDefault="006159F6" w:rsidP="00041C05">
      <w:r>
        <w:separator/>
      </w:r>
    </w:p>
  </w:endnote>
  <w:endnote w:type="continuationSeparator" w:id="0">
    <w:p w14:paraId="678AF464" w14:textId="77777777" w:rsidR="006159F6" w:rsidRDefault="006159F6"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45F88" w14:textId="77777777" w:rsidR="006159F6" w:rsidRDefault="006159F6" w:rsidP="00041C05">
      <w:r>
        <w:separator/>
      </w:r>
    </w:p>
  </w:footnote>
  <w:footnote w:type="continuationSeparator" w:id="0">
    <w:p w14:paraId="25800C62" w14:textId="77777777" w:rsidR="006159F6" w:rsidRDefault="006159F6"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E61908" w:rsidRPr="007D11BB" w:rsidRDefault="00E61908" w:rsidP="007D11BB">
    <w:pPr>
      <w:rPr>
        <w:rFonts w:eastAsia="Times New Roman" w:cs="Times New Roman"/>
      </w:rPr>
    </w:pPr>
    <w:r w:rsidRPr="00227C32">
      <w:rPr>
        <w:noProof/>
      </w:rPr>
      <mc:AlternateContent>
        <mc:Choice Requires="wps">
          <w:drawing>
            <wp:inline distT="0" distB="0" distL="0" distR="0" wp14:anchorId="40CC300A" wp14:editId="4C9B893C">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162540D6" w:rsidR="00E61908" w:rsidRPr="003F5672" w:rsidRDefault="00E61908"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F662B">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9494EE1" w14:textId="3812C309" w:rsidR="00E61908" w:rsidRPr="00B95046" w:rsidRDefault="00E61908"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BSN, RN to BSN Program</w:t>
                          </w:r>
                          <w:r>
                            <w:rPr>
                              <w:rFonts w:ascii="Calibri" w:eastAsia="Times New Roman" w:hAnsi="Calibri" w:cs="Times New Roman"/>
                              <w:b/>
                              <w:bCs/>
                              <w:color w:val="FFFFFF"/>
                              <w:sz w:val="32"/>
                              <w:szCs w:val="32"/>
                            </w:rPr>
                            <w:t xml:space="preserve"> </w:t>
                          </w:r>
                          <w:r w:rsidRPr="003F5672">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sz w:val="28"/>
                              <w:szCs w:val="28"/>
                            </w:rPr>
                            <w:t>Second Degree</w:t>
                          </w:r>
                        </w:p>
                        <w:p w14:paraId="0D5A22C9" w14:textId="3C63EC60" w:rsidR="00E61908" w:rsidRDefault="00E61908" w:rsidP="00EB0AA2">
                          <w:pPr>
                            <w:rPr>
                              <w:b/>
                              <w:bCs/>
                            </w:rPr>
                          </w:pPr>
                          <w:r w:rsidRPr="003F5672">
                            <w:rPr>
                              <w:rFonts w:ascii="Calibri" w:eastAsia="Times New Roman" w:hAnsi="Calibri" w:cs="Times New Roman"/>
                              <w:b/>
                              <w:bCs/>
                              <w:color w:val="FFFFFF"/>
                              <w:sz w:val="32"/>
                              <w:szCs w:val="32"/>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162540D6" w:rsidR="00E61908" w:rsidRPr="003F5672" w:rsidRDefault="00E61908"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F662B">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9494EE1" w14:textId="3812C309" w:rsidR="00E61908" w:rsidRPr="00B95046" w:rsidRDefault="00E61908" w:rsidP="00EB0AA2">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BSN, RN to BSN Program</w:t>
                    </w:r>
                    <w:r>
                      <w:rPr>
                        <w:rFonts w:ascii="Calibri" w:eastAsia="Times New Roman" w:hAnsi="Calibri" w:cs="Times New Roman"/>
                        <w:b/>
                        <w:bCs/>
                        <w:color w:val="FFFFFF"/>
                        <w:sz w:val="32"/>
                        <w:szCs w:val="32"/>
                      </w:rPr>
                      <w:t xml:space="preserve"> </w:t>
                    </w:r>
                    <w:r w:rsidRPr="003F5672">
                      <w:rPr>
                        <w:rFonts w:ascii="Calibri" w:eastAsia="Times New Roman" w:hAnsi="Calibri" w:cs="Times New Roman"/>
                        <w:b/>
                        <w:bCs/>
                        <w:color w:val="FFFFFF"/>
                        <w:sz w:val="32"/>
                        <w:szCs w:val="32"/>
                      </w:rPr>
                      <w:t xml:space="preserve"> </w:t>
                    </w:r>
                    <w:r>
                      <w:rPr>
                        <w:rFonts w:ascii="Calibri" w:eastAsia="Times New Roman" w:hAnsi="Calibri" w:cs="Times New Roman"/>
                        <w:b/>
                        <w:bCs/>
                        <w:color w:val="FFFFFF"/>
                        <w:sz w:val="28"/>
                        <w:szCs w:val="28"/>
                      </w:rPr>
                      <w:t>Second Degree</w:t>
                    </w:r>
                  </w:p>
                  <w:p w14:paraId="0D5A22C9" w14:textId="3C63EC60" w:rsidR="00E61908" w:rsidRDefault="00E61908" w:rsidP="00EB0AA2">
                    <w:pPr>
                      <w:rPr>
                        <w:b/>
                        <w:bCs/>
                      </w:rPr>
                    </w:pPr>
                    <w:r w:rsidRPr="003F5672">
                      <w:rPr>
                        <w:rFonts w:ascii="Calibri" w:eastAsia="Times New Roman" w:hAnsi="Calibri" w:cs="Times New Roman"/>
                        <w:b/>
                        <w:bCs/>
                        <w:color w:val="FFFFFF"/>
                        <w:sz w:val="32"/>
                        <w:szCs w:val="32"/>
                      </w:rPr>
                      <w:t xml:space="preserve">                                              </w:t>
                    </w: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154DE"/>
    <w:multiLevelType w:val="hybridMultilevel"/>
    <w:tmpl w:val="09AECA5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714F0"/>
    <w:multiLevelType w:val="hybridMultilevel"/>
    <w:tmpl w:val="03EE1F22"/>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0C1"/>
    <w:multiLevelType w:val="hybridMultilevel"/>
    <w:tmpl w:val="97368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F634D"/>
    <w:multiLevelType w:val="hybridMultilevel"/>
    <w:tmpl w:val="87622432"/>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76340"/>
    <w:multiLevelType w:val="hybridMultilevel"/>
    <w:tmpl w:val="7F30EE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0"/>
  </w:num>
  <w:num w:numId="4">
    <w:abstractNumId w:val="7"/>
  </w:num>
  <w:num w:numId="5">
    <w:abstractNumId w:val="4"/>
  </w:num>
  <w:num w:numId="6">
    <w:abstractNumId w:val="17"/>
  </w:num>
  <w:num w:numId="7">
    <w:abstractNumId w:val="3"/>
  </w:num>
  <w:num w:numId="8">
    <w:abstractNumId w:val="13"/>
  </w:num>
  <w:num w:numId="9">
    <w:abstractNumId w:val="21"/>
  </w:num>
  <w:num w:numId="10">
    <w:abstractNumId w:val="1"/>
  </w:num>
  <w:num w:numId="11">
    <w:abstractNumId w:val="22"/>
  </w:num>
  <w:num w:numId="12">
    <w:abstractNumId w:val="23"/>
  </w:num>
  <w:num w:numId="13">
    <w:abstractNumId w:val="26"/>
  </w:num>
  <w:num w:numId="14">
    <w:abstractNumId w:val="25"/>
  </w:num>
  <w:num w:numId="15">
    <w:abstractNumId w:val="20"/>
  </w:num>
  <w:num w:numId="16">
    <w:abstractNumId w:val="8"/>
  </w:num>
  <w:num w:numId="17">
    <w:abstractNumId w:val="16"/>
  </w:num>
  <w:num w:numId="18">
    <w:abstractNumId w:val="12"/>
  </w:num>
  <w:num w:numId="19">
    <w:abstractNumId w:val="15"/>
  </w:num>
  <w:num w:numId="20">
    <w:abstractNumId w:val="14"/>
  </w:num>
  <w:num w:numId="21">
    <w:abstractNumId w:val="27"/>
  </w:num>
  <w:num w:numId="22">
    <w:abstractNumId w:val="24"/>
  </w:num>
  <w:num w:numId="23">
    <w:abstractNumId w:val="28"/>
  </w:num>
  <w:num w:numId="24">
    <w:abstractNumId w:val="5"/>
  </w:num>
  <w:num w:numId="25">
    <w:abstractNumId w:val="9"/>
  </w:num>
  <w:num w:numId="26">
    <w:abstractNumId w:val="6"/>
  </w:num>
  <w:num w:numId="27">
    <w:abstractNumId w:val="0"/>
  </w:num>
  <w:num w:numId="28">
    <w:abstractNumId w:val="2"/>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5913"/>
    <w:rsid w:val="000132D7"/>
    <w:rsid w:val="00041C05"/>
    <w:rsid w:val="00062FEE"/>
    <w:rsid w:val="000838D9"/>
    <w:rsid w:val="000E26C9"/>
    <w:rsid w:val="00116C00"/>
    <w:rsid w:val="00131758"/>
    <w:rsid w:val="00136C4B"/>
    <w:rsid w:val="00150D9A"/>
    <w:rsid w:val="00172B07"/>
    <w:rsid w:val="001B20B9"/>
    <w:rsid w:val="001C0149"/>
    <w:rsid w:val="00205725"/>
    <w:rsid w:val="00214019"/>
    <w:rsid w:val="00220DE5"/>
    <w:rsid w:val="00253461"/>
    <w:rsid w:val="002F1A3C"/>
    <w:rsid w:val="002F5140"/>
    <w:rsid w:val="003050A1"/>
    <w:rsid w:val="00321AD9"/>
    <w:rsid w:val="00326C77"/>
    <w:rsid w:val="00334B3D"/>
    <w:rsid w:val="003868FA"/>
    <w:rsid w:val="003D086B"/>
    <w:rsid w:val="003D0947"/>
    <w:rsid w:val="003F3358"/>
    <w:rsid w:val="0044531D"/>
    <w:rsid w:val="00460802"/>
    <w:rsid w:val="004C05BA"/>
    <w:rsid w:val="004E0956"/>
    <w:rsid w:val="004F59A6"/>
    <w:rsid w:val="00531CCE"/>
    <w:rsid w:val="00566B20"/>
    <w:rsid w:val="005807B1"/>
    <w:rsid w:val="005A4645"/>
    <w:rsid w:val="005F41D8"/>
    <w:rsid w:val="006159F6"/>
    <w:rsid w:val="006A01C3"/>
    <w:rsid w:val="006A2183"/>
    <w:rsid w:val="006F23D4"/>
    <w:rsid w:val="00747D59"/>
    <w:rsid w:val="00764A2F"/>
    <w:rsid w:val="007B13C9"/>
    <w:rsid w:val="007B70A4"/>
    <w:rsid w:val="007D11BB"/>
    <w:rsid w:val="007E200D"/>
    <w:rsid w:val="0083446D"/>
    <w:rsid w:val="00841FB2"/>
    <w:rsid w:val="00853128"/>
    <w:rsid w:val="00877770"/>
    <w:rsid w:val="008A56F8"/>
    <w:rsid w:val="008B4D39"/>
    <w:rsid w:val="008C517B"/>
    <w:rsid w:val="008D0378"/>
    <w:rsid w:val="008D0562"/>
    <w:rsid w:val="008D3C34"/>
    <w:rsid w:val="0090268B"/>
    <w:rsid w:val="009111FA"/>
    <w:rsid w:val="00917052"/>
    <w:rsid w:val="009659FF"/>
    <w:rsid w:val="009A4BD9"/>
    <w:rsid w:val="009B54C4"/>
    <w:rsid w:val="00AB7178"/>
    <w:rsid w:val="00AD6406"/>
    <w:rsid w:val="00AE5C3D"/>
    <w:rsid w:val="00AF662B"/>
    <w:rsid w:val="00B16079"/>
    <w:rsid w:val="00B17927"/>
    <w:rsid w:val="00B1792F"/>
    <w:rsid w:val="00B478E0"/>
    <w:rsid w:val="00B576EF"/>
    <w:rsid w:val="00B776C3"/>
    <w:rsid w:val="00B83842"/>
    <w:rsid w:val="00B95046"/>
    <w:rsid w:val="00BA3D65"/>
    <w:rsid w:val="00BF02D5"/>
    <w:rsid w:val="00C14BC7"/>
    <w:rsid w:val="00C170F9"/>
    <w:rsid w:val="00C41C95"/>
    <w:rsid w:val="00C67CD1"/>
    <w:rsid w:val="00C77369"/>
    <w:rsid w:val="00CA4488"/>
    <w:rsid w:val="00CB06D9"/>
    <w:rsid w:val="00CB5F55"/>
    <w:rsid w:val="00CC5739"/>
    <w:rsid w:val="00CD738A"/>
    <w:rsid w:val="00D32FE7"/>
    <w:rsid w:val="00D460F1"/>
    <w:rsid w:val="00D60206"/>
    <w:rsid w:val="00D7242E"/>
    <w:rsid w:val="00D8680A"/>
    <w:rsid w:val="00DA2698"/>
    <w:rsid w:val="00DA3733"/>
    <w:rsid w:val="00DA5457"/>
    <w:rsid w:val="00DA74F8"/>
    <w:rsid w:val="00DD3C57"/>
    <w:rsid w:val="00E26CC7"/>
    <w:rsid w:val="00E465B9"/>
    <w:rsid w:val="00E61908"/>
    <w:rsid w:val="00E81E3A"/>
    <w:rsid w:val="00E96EE9"/>
    <w:rsid w:val="00EB0AA2"/>
    <w:rsid w:val="00EB390A"/>
    <w:rsid w:val="00EC1B75"/>
    <w:rsid w:val="00ED33CD"/>
    <w:rsid w:val="00EF001D"/>
    <w:rsid w:val="00EF0238"/>
    <w:rsid w:val="00F0535D"/>
    <w:rsid w:val="00F254E3"/>
    <w:rsid w:val="00F369A0"/>
    <w:rsid w:val="00F52CAC"/>
    <w:rsid w:val="00F54929"/>
    <w:rsid w:val="00F56767"/>
    <w:rsid w:val="00F57D30"/>
    <w:rsid w:val="00F71CF2"/>
    <w:rsid w:val="00F90789"/>
    <w:rsid w:val="00FD0BB6"/>
    <w:rsid w:val="00FE4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F54929"/>
    <w:rPr>
      <w:color w:val="800080" w:themeColor="followedHyperlink"/>
      <w:u w:val="single"/>
    </w:rPr>
  </w:style>
  <w:style w:type="paragraph" w:styleId="BalloonText">
    <w:name w:val="Balloon Text"/>
    <w:basedOn w:val="Normal"/>
    <w:link w:val="BalloonTextChar"/>
    <w:uiPriority w:val="99"/>
    <w:semiHidden/>
    <w:unhideWhenUsed/>
    <w:rsid w:val="00F0535D"/>
    <w:rPr>
      <w:rFonts w:ascii="Tahoma" w:hAnsi="Tahoma" w:cs="Tahoma"/>
      <w:sz w:val="16"/>
      <w:szCs w:val="16"/>
    </w:rPr>
  </w:style>
  <w:style w:type="character" w:customStyle="1" w:styleId="BalloonTextChar">
    <w:name w:val="Balloon Text Char"/>
    <w:basedOn w:val="DefaultParagraphFont"/>
    <w:link w:val="BalloonText"/>
    <w:uiPriority w:val="99"/>
    <w:semiHidden/>
    <w:rsid w:val="00F05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c.edu/nurs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3A0A-8154-8641-BE1F-193DEEB2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4</cp:revision>
  <cp:lastPrinted>2017-09-18T16:34:00Z</cp:lastPrinted>
  <dcterms:created xsi:type="dcterms:W3CDTF">2019-05-31T13:57:00Z</dcterms:created>
  <dcterms:modified xsi:type="dcterms:W3CDTF">2020-06-22T18:19:00Z</dcterms:modified>
</cp:coreProperties>
</file>